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45"/>
        <w:gridCol w:w="10705"/>
      </w:tblGrid>
      <w:tr w:rsidR="00BF3B8A" w:rsidRPr="00332AE7" w14:paraId="13C514E6" w14:textId="77777777" w:rsidTr="00BF3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78A4D675" w14:textId="77777777" w:rsidR="009B632B" w:rsidRPr="00332AE7" w:rsidRDefault="009B632B" w:rsidP="00A47442">
            <w:pP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          </w:t>
            </w:r>
            <w:r w:rsidR="00EB236F"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Назив обуке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66C44CD9" w14:textId="77777777" w:rsidR="009B632B" w:rsidRPr="00332AE7" w:rsidRDefault="00BF3B8A" w:rsidP="00EB2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</w:pPr>
            <w:r w:rsidRPr="00332AE7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и) </w:t>
            </w:r>
            <w:r w:rsidR="00EB236F" w:rsidRPr="00332AE7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КОМУНИЦИРАЊЕ </w:t>
            </w:r>
            <w:r w:rsidR="009B632B" w:rsidRPr="00332AE7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 xml:space="preserve">O </w:t>
            </w:r>
            <w:r w:rsidR="00EB236F" w:rsidRPr="00332AE7">
              <w:rPr>
                <w:rFonts w:ascii="Cambria" w:hAnsi="Cambria"/>
                <w:color w:val="auto"/>
                <w:sz w:val="28"/>
                <w:szCs w:val="28"/>
                <w:lang w:val="sr-Cyrl-BA"/>
              </w:rPr>
              <w:t>ПРОЦЕСУ ЕВРОПСКИХ ИНТЕГРАЦИЈА</w:t>
            </w:r>
          </w:p>
        </w:tc>
      </w:tr>
      <w:tr w:rsidR="00BF3B8A" w:rsidRPr="00332AE7" w14:paraId="7BDDA6AA" w14:textId="77777777" w:rsidTr="00BF3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0ABF7CE5" w14:textId="77777777" w:rsidR="009B632B" w:rsidRPr="00332AE7" w:rsidRDefault="00EB236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Садржај обуке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6F271FA6" w14:textId="77777777" w:rsidR="00EB236F" w:rsidRPr="00332AE7" w:rsidRDefault="00EB236F" w:rsidP="004B4730">
            <w:pPr>
              <w:pStyle w:val="Paragrafspisk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b/>
                <w:sz w:val="20"/>
                <w:szCs w:val="20"/>
                <w:lang w:val="sr-Cyrl-BA"/>
              </w:rPr>
              <w:t xml:space="preserve">Комуникација </w:t>
            </w:r>
          </w:p>
          <w:p w14:paraId="4AF627ED" w14:textId="77777777" w:rsidR="00EB236F" w:rsidRPr="00332AE7" w:rsidRDefault="00EB236F" w:rsidP="004B4730">
            <w:pPr>
              <w:pStyle w:val="Paragrafspiska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Дефиниција, значај, врсте</w:t>
            </w:r>
          </w:p>
          <w:p w14:paraId="60669C6B" w14:textId="77777777" w:rsidR="00EB236F" w:rsidRPr="00332AE7" w:rsidRDefault="00EB236F" w:rsidP="004B4730">
            <w:pPr>
              <w:pStyle w:val="Paragrafspisk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b/>
                <w:sz w:val="20"/>
                <w:szCs w:val="20"/>
                <w:lang w:val="sr-Cyrl-BA"/>
              </w:rPr>
            </w:pPr>
            <w:r w:rsidRPr="00332AE7">
              <w:rPr>
                <w:rFonts w:ascii="Cambria" w:eastAsia="Arial Unicode MS" w:hAnsi="Cambria" w:cs="Arial Unicode MS"/>
                <w:b/>
                <w:sz w:val="20"/>
                <w:szCs w:val="20"/>
                <w:lang w:val="sr-Cyrl-BA"/>
              </w:rPr>
              <w:t>Како препознати теме за комуникацију о ЕУ у свакодневном раду</w:t>
            </w:r>
          </w:p>
          <w:p w14:paraId="5B8B8F3C" w14:textId="77777777" w:rsidR="00EB236F" w:rsidRPr="00332AE7" w:rsidRDefault="00EB236F" w:rsidP="004B4730">
            <w:pPr>
              <w:pStyle w:val="Paragrafspisk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</w:pPr>
            <w:r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Технике препознавања интереса јавности</w:t>
            </w:r>
          </w:p>
          <w:p w14:paraId="1402CCE3" w14:textId="4F8C6FFE" w:rsidR="00EB236F" w:rsidRDefault="00EB236F" w:rsidP="004B4730">
            <w:pPr>
              <w:pStyle w:val="Paragrafspiska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</w:pPr>
            <w:r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Претварање свакодневних задатака у тему за комуницирање</w:t>
            </w:r>
          </w:p>
          <w:p w14:paraId="10DB5A73" w14:textId="0AB89295" w:rsidR="009119DE" w:rsidRPr="00FE3201" w:rsidRDefault="009119DE" w:rsidP="00FE3201">
            <w:pPr>
              <w:pStyle w:val="Paragrafspiska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</w:pPr>
            <w:proofErr w:type="spellStart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Комуницирање</w:t>
            </w:r>
            <w:proofErr w:type="spellEnd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 о </w:t>
            </w:r>
            <w:proofErr w:type="spellStart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е</w:t>
            </w:r>
            <w:r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в</w:t>
            </w:r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ропским</w:t>
            </w:r>
            <w:proofErr w:type="spellEnd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интеграцијама</w:t>
            </w:r>
            <w:proofErr w:type="spellEnd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 у </w:t>
            </w:r>
            <w:proofErr w:type="spellStart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с</w:t>
            </w:r>
            <w:r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а</w:t>
            </w:r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радњи</w:t>
            </w:r>
            <w:proofErr w:type="spellEnd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 с</w:t>
            </w:r>
            <w:r w:rsidR="006B4B40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a</w:t>
            </w:r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надлежним</w:t>
            </w:r>
            <w:proofErr w:type="spellEnd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 xml:space="preserve"> </w:t>
            </w:r>
            <w:proofErr w:type="spellStart"/>
            <w:r w:rsidRPr="00F31CB6">
              <w:rPr>
                <w:rFonts w:ascii="Cambria" w:eastAsia="Arial Unicode MS" w:hAnsi="Cambria" w:cs="Arial Unicode MS"/>
                <w:sz w:val="20"/>
                <w:szCs w:val="20"/>
                <w:lang w:val="bs-Latn-BA"/>
              </w:rPr>
              <w:t>институцијама</w:t>
            </w:r>
            <w:proofErr w:type="spellEnd"/>
          </w:p>
          <w:p w14:paraId="667D6692" w14:textId="77777777" w:rsidR="00EB236F" w:rsidRPr="00332AE7" w:rsidRDefault="00EB236F" w:rsidP="004B4730">
            <w:pPr>
              <w:pStyle w:val="Paragrafspisk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b/>
                <w:sz w:val="20"/>
                <w:szCs w:val="20"/>
                <w:lang w:val="sr-Cyrl-BA"/>
              </w:rPr>
            </w:pPr>
            <w:r w:rsidRPr="00332AE7">
              <w:rPr>
                <w:rFonts w:ascii="Cambria" w:eastAsia="Arial Unicode MS" w:hAnsi="Cambria" w:cs="Arial Unicode MS"/>
                <w:b/>
                <w:sz w:val="20"/>
                <w:szCs w:val="20"/>
                <w:lang w:val="sr-Cyrl-BA"/>
              </w:rPr>
              <w:t>Како отклањати стереотипе и митове о чланству у ЕУ</w:t>
            </w:r>
          </w:p>
          <w:p w14:paraId="73D4EEDD" w14:textId="77777777" w:rsidR="00EB236F" w:rsidRPr="00332AE7" w:rsidRDefault="00EB236F" w:rsidP="004B4730">
            <w:pPr>
              <w:pStyle w:val="Paragrafspiska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</w:pPr>
            <w:r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Најчешћи митови о чланству у ЕУ</w:t>
            </w:r>
          </w:p>
          <w:p w14:paraId="4ADC8FD7" w14:textId="77777777" w:rsidR="00EB236F" w:rsidRPr="00332AE7" w:rsidRDefault="00EB236F" w:rsidP="004B4730">
            <w:pPr>
              <w:pStyle w:val="Paragrafspiska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</w:pPr>
            <w:r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Технике уклањања стереотипа</w:t>
            </w:r>
          </w:p>
          <w:p w14:paraId="0A87192E" w14:textId="77777777" w:rsidR="009B632B" w:rsidRPr="002A3F9C" w:rsidRDefault="002A3F9C" w:rsidP="002A3F9C">
            <w:pPr>
              <w:pStyle w:val="Paragrafspiska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b/>
                <w:sz w:val="20"/>
                <w:szCs w:val="20"/>
                <w:lang w:val="sr-Cyrl-BA"/>
              </w:rPr>
            </w:pPr>
            <w:r>
              <w:rPr>
                <w:rFonts w:ascii="Cambria" w:eastAsia="Arial Unicode MS" w:hAnsi="Cambria" w:cs="Arial Unicode MS"/>
                <w:b/>
                <w:sz w:val="20"/>
                <w:szCs w:val="20"/>
                <w:lang w:val="sr-Cyrl-BA"/>
              </w:rPr>
              <w:t>Дигиталне комуникације</w:t>
            </w:r>
          </w:p>
        </w:tc>
      </w:tr>
      <w:tr w:rsidR="00BF3B8A" w:rsidRPr="00332AE7" w14:paraId="240F2F07" w14:textId="77777777" w:rsidTr="00BF3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014FC75D" w14:textId="77777777" w:rsidR="009B632B" w:rsidRPr="00332AE7" w:rsidRDefault="002A3F9C" w:rsidP="00EB236F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Т</w:t>
            </w:r>
            <w:r w:rsidR="00EB236F"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рајање </w:t>
            </w:r>
            <w:r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обуке </w:t>
            </w:r>
            <w:r w:rsidR="00EB236F"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изражено бројем академских часова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6C9FFB25" w14:textId="77777777" w:rsidR="009B632B" w:rsidRPr="00332AE7" w:rsidRDefault="009B632B" w:rsidP="00A4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  <w:p w14:paraId="5072BBC5" w14:textId="77777777" w:rsidR="009B632B" w:rsidRPr="00332AE7" w:rsidRDefault="00BF3B8A" w:rsidP="00BF3B8A">
            <w:pPr>
              <w:pStyle w:val="Paragrafspisk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Класична обука у учионици:</w:t>
            </w:r>
            <w:r w:rsidR="002A3F9C">
              <w:rPr>
                <w:rFonts w:ascii="Cambria" w:hAnsi="Cambria"/>
                <w:sz w:val="20"/>
                <w:szCs w:val="20"/>
                <w:lang w:val="sr-Cyrl-BA"/>
              </w:rPr>
              <w:t xml:space="preserve"> 8</w:t>
            </w: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 xml:space="preserve"> академских часова</w:t>
            </w:r>
            <w:r w:rsidR="002A3F9C">
              <w:rPr>
                <w:rFonts w:ascii="Cambria" w:hAnsi="Cambria"/>
                <w:sz w:val="20"/>
                <w:szCs w:val="20"/>
                <w:lang w:val="sr-Cyrl-BA"/>
              </w:rPr>
              <w:t>,</w:t>
            </w: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 xml:space="preserve"> т</w:t>
            </w:r>
            <w:r w:rsidR="00332AE7">
              <w:rPr>
                <w:rFonts w:ascii="Cambria" w:hAnsi="Cambria"/>
                <w:sz w:val="20"/>
                <w:szCs w:val="20"/>
                <w:lang w:val="sr-Cyrl-BA"/>
              </w:rPr>
              <w:t xml:space="preserve">о </w:t>
            </w: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ј</w:t>
            </w:r>
            <w:r w:rsidR="00332AE7">
              <w:rPr>
                <w:rFonts w:ascii="Cambria" w:hAnsi="Cambria"/>
                <w:sz w:val="20"/>
                <w:szCs w:val="20"/>
                <w:lang w:val="sr-Cyrl-BA"/>
              </w:rPr>
              <w:t>ест о</w:t>
            </w: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бука у трајању од 1 дана</w:t>
            </w:r>
          </w:p>
          <w:p w14:paraId="5C9A4736" w14:textId="77777777" w:rsidR="00BF3B8A" w:rsidRPr="00332AE7" w:rsidRDefault="002A3F9C" w:rsidP="00BF3B8A">
            <w:pPr>
              <w:pStyle w:val="Paragrafspisk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sr-Cyrl-BA"/>
              </w:rPr>
              <w:t xml:space="preserve">Вебинар: </w:t>
            </w:r>
            <w:r w:rsidR="00BF3B8A" w:rsidRPr="00332AE7">
              <w:rPr>
                <w:rFonts w:ascii="Cambria" w:hAnsi="Cambria"/>
                <w:sz w:val="20"/>
                <w:szCs w:val="20"/>
                <w:lang w:val="sr-Cyrl-BA"/>
              </w:rPr>
              <w:t>5 академских часова</w:t>
            </w:r>
          </w:p>
          <w:p w14:paraId="25AAC9DF" w14:textId="77777777" w:rsidR="00BF3B8A" w:rsidRPr="00332AE7" w:rsidRDefault="00BF3B8A" w:rsidP="00BF3B8A">
            <w:pPr>
              <w:pStyle w:val="Paragrafspis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</w:tc>
      </w:tr>
      <w:tr w:rsidR="00BF3B8A" w:rsidRPr="00332AE7" w14:paraId="51D7AE37" w14:textId="77777777" w:rsidTr="00BF3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758BF02A" w14:textId="77777777" w:rsidR="009B632B" w:rsidRPr="00332AE7" w:rsidRDefault="009B632B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1489662F" w14:textId="77777777" w:rsidR="009B632B" w:rsidRPr="00332AE7" w:rsidRDefault="009B632B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  <w:p w14:paraId="7621D457" w14:textId="77777777" w:rsidR="00EB236F" w:rsidRPr="00332AE7" w:rsidRDefault="00B6027F" w:rsidP="001C7A02">
            <w:pPr>
              <w:rPr>
                <w:color w:val="auto"/>
                <w:lang w:val="sr-Cyrl-BA"/>
              </w:rPr>
            </w:pPr>
            <w:r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        </w:t>
            </w:r>
            <w:r w:rsidR="00EB236F"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Опис обуке</w:t>
            </w:r>
          </w:p>
          <w:p w14:paraId="0ADC0173" w14:textId="77777777" w:rsidR="009B632B" w:rsidRPr="00332AE7" w:rsidRDefault="009B632B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</w:p>
        </w:tc>
        <w:tc>
          <w:tcPr>
            <w:tcW w:w="10705" w:type="dxa"/>
            <w:shd w:val="clear" w:color="auto" w:fill="F2F2F2" w:themeFill="background1" w:themeFillShade="F2"/>
          </w:tcPr>
          <w:p w14:paraId="3530455C" w14:textId="4BC0C6D1" w:rsidR="00EB236F" w:rsidRPr="00332AE7" w:rsidRDefault="00EB236F" w:rsidP="00602E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Интеграција у ЕУ и комуникација о њој није посао само једне институције или службеника, већ свих институција и актера у друштву. Комуницирање о интеграцији у ЕУ је диоба и размјена информација, те одашиљање и примање порука које се односе, али не искључиво, на испуњ</w:t>
            </w:r>
            <w:r w:rsidR="009119DE">
              <w:rPr>
                <w:rFonts w:ascii="Cambria" w:hAnsi="Cambria"/>
                <w:sz w:val="20"/>
                <w:szCs w:val="20"/>
                <w:lang w:val="sr-Cyrl-BA"/>
              </w:rPr>
              <w:t>ава</w:t>
            </w: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 xml:space="preserve">ње критеријума за чланство у ЕУ, активности институција у БиХ у процесу интегрисања, отклањање стереотипа и рушење митова о чланству у ЕУ. </w:t>
            </w:r>
          </w:p>
          <w:p w14:paraId="17E1B730" w14:textId="77777777" w:rsidR="00EB236F" w:rsidRPr="00332AE7" w:rsidRDefault="00EB236F" w:rsidP="00602E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Ова обука фокусирана је на дисперзирану комуникацију о интеграцији у ЕУ.</w:t>
            </w:r>
          </w:p>
          <w:p w14:paraId="493D5AF8" w14:textId="77777777" w:rsidR="009B632B" w:rsidRPr="00332AE7" w:rsidRDefault="009B632B" w:rsidP="00A474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</w:p>
        </w:tc>
      </w:tr>
      <w:tr w:rsidR="00BF3B8A" w:rsidRPr="00332AE7" w14:paraId="6187ACAD" w14:textId="77777777" w:rsidTr="00BF3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5A4350D1" w14:textId="77777777" w:rsidR="009B632B" w:rsidRPr="00332AE7" w:rsidRDefault="00EB236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Циљеви обуке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63803DC9" w14:textId="0E4F6F52" w:rsidR="00B6027F" w:rsidRPr="00332AE7" w:rsidRDefault="00B6027F" w:rsidP="00B6027F">
            <w:pPr>
              <w:pStyle w:val="Paragrafspisk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Обучити полазнике да у свакодневном раду препознају теме за комуницирање о интеграцији у ЕУ</w:t>
            </w:r>
          </w:p>
          <w:p w14:paraId="49CF3C62" w14:textId="186E49C0" w:rsidR="00B6027F" w:rsidRPr="00332AE7" w:rsidRDefault="00B6027F" w:rsidP="00B6027F">
            <w:pPr>
              <w:pStyle w:val="Paragrafspisk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Упознати полазнике са потребом и вриједностима комуникације о интеграцији у ЕУ</w:t>
            </w:r>
          </w:p>
          <w:p w14:paraId="2E4C58D0" w14:textId="5A0FFDA0" w:rsidR="00B6027F" w:rsidRPr="00332AE7" w:rsidRDefault="00B6027F" w:rsidP="00B6027F">
            <w:pPr>
              <w:pStyle w:val="Paragrafspisk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Унаприједити знање полазника о најбољим комуникацијским праксама о интеграцији у ЕУ</w:t>
            </w:r>
          </w:p>
          <w:p w14:paraId="41F7FBE7" w14:textId="77777777" w:rsidR="009B632B" w:rsidRPr="00332AE7" w:rsidRDefault="002A3F9C" w:rsidP="00B6027F">
            <w:pPr>
              <w:pStyle w:val="Paragrafspisk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sz w:val="20"/>
                <w:szCs w:val="20"/>
                <w:lang w:val="sr-Cyrl-BA"/>
              </w:rPr>
              <w:t>Упознати полазнике са користима дигиталне комуникације</w:t>
            </w:r>
            <w:r w:rsidR="00204D73">
              <w:rPr>
                <w:rFonts w:ascii="Cambria" w:hAnsi="Cambria"/>
                <w:sz w:val="20"/>
                <w:szCs w:val="20"/>
                <w:lang w:val="sr-Cyrl-BA"/>
              </w:rPr>
              <w:t>.</w:t>
            </w:r>
          </w:p>
        </w:tc>
      </w:tr>
      <w:tr w:rsidR="00BF3B8A" w:rsidRPr="00332AE7" w14:paraId="37D27437" w14:textId="77777777" w:rsidTr="00BF3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2CF847EF" w14:textId="77777777" w:rsidR="009B632B" w:rsidRPr="00332AE7" w:rsidRDefault="00EB236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Циљна група полазника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4BEC628E" w14:textId="77777777" w:rsidR="00B6027F" w:rsidRPr="00332AE7" w:rsidRDefault="00B6027F" w:rsidP="00B6027F">
            <w:pPr>
              <w:pStyle w:val="Paragrafspisk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Чланови тијела у систему координације процеса европских интеграција и осталих структура успостављених за потребе процеса европских интеграција и државни службеници који обављају послове:</w:t>
            </w:r>
          </w:p>
          <w:p w14:paraId="468DCD68" w14:textId="77777777" w:rsidR="00B6027F" w:rsidRPr="00332AE7" w:rsidRDefault="00B6027F" w:rsidP="00B6027F">
            <w:pPr>
              <w:pStyle w:val="Paragrafspiska"/>
              <w:numPr>
                <w:ilvl w:val="0"/>
                <w:numId w:val="12"/>
              </w:numPr>
              <w:ind w:left="62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координације процеса придруживања БиХ ЕУ</w:t>
            </w:r>
          </w:p>
          <w:p w14:paraId="490DF73B" w14:textId="77777777" w:rsidR="009B632B" w:rsidRPr="00332AE7" w:rsidRDefault="00B6027F" w:rsidP="00B6027F">
            <w:pPr>
              <w:pStyle w:val="Paragrafspiska"/>
              <w:numPr>
                <w:ilvl w:val="0"/>
                <w:numId w:val="4"/>
              </w:numPr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Научни и стручни радници, студенти додипломских, постдипломских и докторских студија у области европских интеграција, новинари, представници невладиних организација, запослени у јавним предузећима и незапослени</w:t>
            </w:r>
          </w:p>
        </w:tc>
      </w:tr>
      <w:tr w:rsidR="00BF3B8A" w:rsidRPr="00332AE7" w14:paraId="6A994DE4" w14:textId="77777777" w:rsidTr="00BF3B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1FC13D65" w14:textId="77777777" w:rsidR="009B632B" w:rsidRPr="00332AE7" w:rsidRDefault="00EB236F" w:rsidP="00A47442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535D163F" w14:textId="77777777" w:rsidR="00B6027F" w:rsidRPr="00332AE7" w:rsidRDefault="00B6027F" w:rsidP="00B6027F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Полазници обучени да препознају теме из свакодневног рада за комуницирање о интеграцији у ЕУ</w:t>
            </w:r>
          </w:p>
          <w:p w14:paraId="352B3E76" w14:textId="77777777" w:rsidR="00B6027F" w:rsidRPr="00332AE7" w:rsidRDefault="00B6027F" w:rsidP="00B6027F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П</w:t>
            </w:r>
            <w:r w:rsidR="00204D73">
              <w:rPr>
                <w:rFonts w:ascii="Cambria" w:hAnsi="Cambria"/>
                <w:sz w:val="20"/>
                <w:szCs w:val="20"/>
                <w:lang w:val="sr-Cyrl-BA"/>
              </w:rPr>
              <w:t>олазници потакнути на дигиталну</w:t>
            </w: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 xml:space="preserve"> комуникацију о интеграцији у ЕУ са различитим циљним групама</w:t>
            </w:r>
          </w:p>
          <w:p w14:paraId="57080AF5" w14:textId="77777777" w:rsidR="009B632B" w:rsidRPr="00332AE7" w:rsidRDefault="00B6027F" w:rsidP="00B6027F">
            <w:pPr>
              <w:pStyle w:val="Paragrafspiska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sz w:val="20"/>
                <w:szCs w:val="20"/>
                <w:lang w:val="sr-Cyrl-BA"/>
              </w:rPr>
              <w:t>Полазници унаприједили знање о комуникацијским праксама о интеграцији у ЕУ</w:t>
            </w:r>
          </w:p>
        </w:tc>
      </w:tr>
      <w:tr w:rsidR="00BF3B8A" w:rsidRPr="00332AE7" w14:paraId="6B620B48" w14:textId="77777777" w:rsidTr="00BF3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shd w:val="clear" w:color="auto" w:fill="F2F2F2" w:themeFill="background1" w:themeFillShade="F2"/>
          </w:tcPr>
          <w:p w14:paraId="164E0B75" w14:textId="77777777" w:rsidR="009B632B" w:rsidRPr="00332AE7" w:rsidRDefault="00EB236F" w:rsidP="005C2D1C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</w:pPr>
            <w:r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Методе изв</w:t>
            </w:r>
            <w:r w:rsidR="005C2D1C"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 xml:space="preserve">ођења </w:t>
            </w:r>
            <w:r w:rsidRPr="00332AE7">
              <w:rPr>
                <w:rFonts w:ascii="Cambria" w:hAnsi="Cambria"/>
                <w:color w:val="auto"/>
                <w:sz w:val="20"/>
                <w:szCs w:val="20"/>
                <w:lang w:val="sr-Cyrl-BA"/>
              </w:rPr>
              <w:t>обуке</w:t>
            </w:r>
          </w:p>
        </w:tc>
        <w:tc>
          <w:tcPr>
            <w:tcW w:w="10705" w:type="dxa"/>
            <w:shd w:val="clear" w:color="auto" w:fill="F2F2F2" w:themeFill="background1" w:themeFillShade="F2"/>
          </w:tcPr>
          <w:p w14:paraId="4B1A42FF" w14:textId="77777777" w:rsidR="00BF3B8A" w:rsidRPr="00332AE7" w:rsidRDefault="00BF3B8A" w:rsidP="00B60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</w:pPr>
            <w:r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Обука се може држати као класична обука у учионици или вебинар.</w:t>
            </w:r>
          </w:p>
          <w:p w14:paraId="49891304" w14:textId="77777777" w:rsidR="00BF3B8A" w:rsidRPr="00332AE7" w:rsidRDefault="00BF3B8A" w:rsidP="00B60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</w:pPr>
          </w:p>
          <w:p w14:paraId="2AAB6D40" w14:textId="6BC1C6EE" w:rsidR="00B6027F" w:rsidRPr="00332AE7" w:rsidRDefault="00B6027F" w:rsidP="00B60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</w:pPr>
            <w:r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lastRenderedPageBreak/>
              <w:t>Теоретски дио (презентације) и практични дио (вјежбе и примјери)</w:t>
            </w:r>
            <w:r w:rsidR="00BF3B8A"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. Уколико се</w:t>
            </w:r>
            <w:r w:rsid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 xml:space="preserve"> </w:t>
            </w:r>
            <w:r w:rsidR="00BF3B8A"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обука држи у форми вебихнара, скраћ</w:t>
            </w:r>
            <w:r w:rsidR="009119DE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ивање</w:t>
            </w:r>
            <w:r w:rsidR="00BF3B8A"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 xml:space="preserve"> њеног трајања треба бити </w:t>
            </w:r>
            <w:r w:rsid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с</w:t>
            </w:r>
            <w:r w:rsidR="00BF3B8A"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 xml:space="preserve">проведено на начин да се </w:t>
            </w:r>
            <w:r w:rsidR="009119DE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обезбиједи</w:t>
            </w:r>
            <w:r w:rsidR="00BF3B8A"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 xml:space="preserve"> пропорционално покривање цјелокупног садржаја.</w:t>
            </w:r>
          </w:p>
          <w:p w14:paraId="0D8B0034" w14:textId="77777777" w:rsidR="00B6027F" w:rsidRPr="00332AE7" w:rsidRDefault="00B6027F" w:rsidP="00B60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</w:pPr>
          </w:p>
          <w:p w14:paraId="2893771A" w14:textId="35E57719" w:rsidR="00B6027F" w:rsidRPr="00332AE7" w:rsidRDefault="00B6027F" w:rsidP="00B60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 xml:space="preserve">Практични дио, то јест, вјежбе и примјери требају трајати најмање </w:t>
            </w:r>
            <w:r w:rsidR="009119DE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30</w:t>
            </w:r>
            <w:r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 xml:space="preserve">% </w:t>
            </w:r>
            <w:r w:rsidRPr="00332AE7">
              <w:rPr>
                <w:rFonts w:ascii="Cambria" w:eastAsia="Arial Unicode MS" w:hAnsi="Cambria"/>
                <w:sz w:val="20"/>
                <w:szCs w:val="20"/>
                <w:lang w:val="sr-Cyrl-BA"/>
              </w:rPr>
              <w:t>времена укупног трајања обуке.</w:t>
            </w:r>
          </w:p>
          <w:p w14:paraId="3C4CDA5E" w14:textId="77777777" w:rsidR="009B632B" w:rsidRPr="00332AE7" w:rsidRDefault="00B6027F" w:rsidP="00B60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sr-Cyrl-BA"/>
              </w:rPr>
            </w:pPr>
            <w:r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Практични дио обуке треба да комбинује групни рад, рад у паровима, анализу текста</w:t>
            </w:r>
            <w:r w:rsidR="00332AE7"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 xml:space="preserve">, </w:t>
            </w:r>
            <w:r w:rsidR="00332AE7" w:rsidRPr="00332AE7">
              <w:rPr>
                <w:rFonts w:ascii="Cambria" w:eastAsia="Arial Unicode MS" w:hAnsi="Cambria" w:cs="Arial Unicode MS"/>
                <w:i/>
                <w:iCs/>
                <w:sz w:val="20"/>
                <w:szCs w:val="20"/>
                <w:lang w:val="sr-Cyrl-BA"/>
              </w:rPr>
              <w:t>storytelling</w:t>
            </w:r>
            <w:r w:rsidRPr="00332AE7">
              <w:rPr>
                <w:rFonts w:ascii="Cambria" w:eastAsia="Arial Unicode MS" w:hAnsi="Cambria" w:cs="Arial Unicode MS"/>
                <w:i/>
                <w:iCs/>
                <w:sz w:val="20"/>
                <w:szCs w:val="20"/>
                <w:lang w:val="sr-Cyrl-BA"/>
              </w:rPr>
              <w:t>и</w:t>
            </w:r>
            <w:r w:rsidR="00204D73">
              <w:rPr>
                <w:rFonts w:ascii="Cambria" w:eastAsia="Arial Unicode MS" w:hAnsi="Cambria" w:cs="Arial Unicode MS"/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="00204D73" w:rsidRPr="00204D73">
              <w:rPr>
                <w:rFonts w:ascii="Cambria" w:eastAsia="Arial Unicode MS" w:hAnsi="Cambria" w:cs="Arial Unicode MS"/>
                <w:iCs/>
                <w:sz w:val="20"/>
                <w:szCs w:val="20"/>
                <w:lang w:val="sr-Cyrl-BA"/>
              </w:rPr>
              <w:t>и</w:t>
            </w:r>
            <w:r w:rsidRPr="00332AE7">
              <w:rPr>
                <w:rFonts w:ascii="Cambria" w:eastAsia="Arial Unicode MS" w:hAnsi="Cambria" w:cs="Arial Unicode MS"/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332AE7">
              <w:rPr>
                <w:rFonts w:ascii="Cambria" w:eastAsia="Arial Unicode MS" w:hAnsi="Cambria" w:cs="Arial Unicode MS"/>
                <w:sz w:val="20"/>
                <w:szCs w:val="20"/>
                <w:lang w:val="sr-Cyrl-BA"/>
              </w:rPr>
              <w:t>сл. Након сваког обрађеног тематског блока треба слиједити практични дио/вјежба.</w:t>
            </w:r>
          </w:p>
        </w:tc>
      </w:tr>
    </w:tbl>
    <w:p w14:paraId="2B57BFC5" w14:textId="77777777" w:rsidR="009B632B" w:rsidRPr="00332AE7" w:rsidRDefault="009B632B" w:rsidP="009B632B">
      <w:pPr>
        <w:rPr>
          <w:lang w:val="sr-Cyrl-BA"/>
        </w:rPr>
      </w:pPr>
    </w:p>
    <w:p w14:paraId="6064B0B8" w14:textId="77777777" w:rsidR="009B632B" w:rsidRPr="00332AE7" w:rsidRDefault="009B632B" w:rsidP="009B632B">
      <w:pPr>
        <w:rPr>
          <w:lang w:val="sr-Cyrl-BA"/>
        </w:rPr>
      </w:pPr>
    </w:p>
    <w:p w14:paraId="11DC7FFA" w14:textId="77777777" w:rsidR="009B632B" w:rsidRPr="00332AE7" w:rsidRDefault="009B632B" w:rsidP="009B632B">
      <w:pPr>
        <w:rPr>
          <w:lang w:val="sr-Cyrl-BA"/>
        </w:rPr>
      </w:pPr>
    </w:p>
    <w:p w14:paraId="53265A55" w14:textId="77777777" w:rsidR="00761B97" w:rsidRPr="00332AE7" w:rsidRDefault="00761B97">
      <w:pPr>
        <w:rPr>
          <w:lang w:val="sr-Cyrl-BA"/>
        </w:rPr>
      </w:pPr>
    </w:p>
    <w:sectPr w:rsidR="00761B97" w:rsidRPr="00332AE7" w:rsidSect="00C10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3D9B"/>
    <w:multiLevelType w:val="hybridMultilevel"/>
    <w:tmpl w:val="A90A7B64"/>
    <w:lvl w:ilvl="0" w:tplc="61A08FBC">
      <w:start w:val="7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400F1"/>
    <w:multiLevelType w:val="hybridMultilevel"/>
    <w:tmpl w:val="F76A61F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32E29"/>
    <w:multiLevelType w:val="hybridMultilevel"/>
    <w:tmpl w:val="0BBEFC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3D7C"/>
    <w:multiLevelType w:val="hybridMultilevel"/>
    <w:tmpl w:val="EA6CC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3B1"/>
    <w:multiLevelType w:val="hybridMultilevel"/>
    <w:tmpl w:val="240A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75F1"/>
    <w:multiLevelType w:val="hybridMultilevel"/>
    <w:tmpl w:val="F3E8D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4413"/>
    <w:multiLevelType w:val="hybridMultilevel"/>
    <w:tmpl w:val="8E92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422E"/>
    <w:multiLevelType w:val="hybridMultilevel"/>
    <w:tmpl w:val="7F7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B100C"/>
    <w:multiLevelType w:val="hybridMultilevel"/>
    <w:tmpl w:val="7DDAA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D619F"/>
    <w:multiLevelType w:val="hybridMultilevel"/>
    <w:tmpl w:val="F15CF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046331"/>
    <w:multiLevelType w:val="hybridMultilevel"/>
    <w:tmpl w:val="198C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55AFF"/>
    <w:multiLevelType w:val="hybridMultilevel"/>
    <w:tmpl w:val="51883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DA69B8"/>
    <w:multiLevelType w:val="hybridMultilevel"/>
    <w:tmpl w:val="213C76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2145487">
    <w:abstractNumId w:val="1"/>
  </w:num>
  <w:num w:numId="2" w16cid:durableId="1988507544">
    <w:abstractNumId w:val="7"/>
  </w:num>
  <w:num w:numId="3" w16cid:durableId="879897022">
    <w:abstractNumId w:val="9"/>
  </w:num>
  <w:num w:numId="4" w16cid:durableId="805125148">
    <w:abstractNumId w:val="10"/>
  </w:num>
  <w:num w:numId="5" w16cid:durableId="235627509">
    <w:abstractNumId w:val="3"/>
  </w:num>
  <w:num w:numId="6" w16cid:durableId="1678725997">
    <w:abstractNumId w:val="6"/>
  </w:num>
  <w:num w:numId="7" w16cid:durableId="79716199">
    <w:abstractNumId w:val="4"/>
  </w:num>
  <w:num w:numId="8" w16cid:durableId="1821847461">
    <w:abstractNumId w:val="5"/>
  </w:num>
  <w:num w:numId="9" w16cid:durableId="1249928482">
    <w:abstractNumId w:val="12"/>
  </w:num>
  <w:num w:numId="10" w16cid:durableId="1812558869">
    <w:abstractNumId w:val="11"/>
  </w:num>
  <w:num w:numId="11" w16cid:durableId="1567758468">
    <w:abstractNumId w:val="8"/>
  </w:num>
  <w:num w:numId="12" w16cid:durableId="1021398436">
    <w:abstractNumId w:val="0"/>
  </w:num>
  <w:num w:numId="13" w16cid:durableId="1572931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2B"/>
    <w:rsid w:val="000C3C03"/>
    <w:rsid w:val="000F5DDD"/>
    <w:rsid w:val="00156993"/>
    <w:rsid w:val="00204D73"/>
    <w:rsid w:val="00241A88"/>
    <w:rsid w:val="002A3F9C"/>
    <w:rsid w:val="00332AE7"/>
    <w:rsid w:val="00365CE8"/>
    <w:rsid w:val="004A1B53"/>
    <w:rsid w:val="0057212F"/>
    <w:rsid w:val="005C2D1C"/>
    <w:rsid w:val="00696542"/>
    <w:rsid w:val="006B4B40"/>
    <w:rsid w:val="006C1879"/>
    <w:rsid w:val="00761B97"/>
    <w:rsid w:val="0079630C"/>
    <w:rsid w:val="007D7022"/>
    <w:rsid w:val="00813DCA"/>
    <w:rsid w:val="008B4C58"/>
    <w:rsid w:val="009119DE"/>
    <w:rsid w:val="009B632B"/>
    <w:rsid w:val="00B6027F"/>
    <w:rsid w:val="00B61B74"/>
    <w:rsid w:val="00BB69B4"/>
    <w:rsid w:val="00BC0292"/>
    <w:rsid w:val="00BF3B8A"/>
    <w:rsid w:val="00C270A5"/>
    <w:rsid w:val="00C6313E"/>
    <w:rsid w:val="00CA7561"/>
    <w:rsid w:val="00D46A5C"/>
    <w:rsid w:val="00D71CCB"/>
    <w:rsid w:val="00DB5CA7"/>
    <w:rsid w:val="00DC765D"/>
    <w:rsid w:val="00E64087"/>
    <w:rsid w:val="00EB236F"/>
    <w:rsid w:val="00F0463A"/>
    <w:rsid w:val="00F84338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5286"/>
  <w15:chartTrackingRefBased/>
  <w15:docId w15:val="{E209EECB-968E-439B-8695-2D7F2170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B632B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9B63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spiska">
    <w:name w:val="List Paragraph"/>
    <w:basedOn w:val="Normalno"/>
    <w:uiPriority w:val="34"/>
    <w:qFormat/>
    <w:rsid w:val="009B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BA797-88F2-4CBF-8DB3-4F216EEA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5</cp:revision>
  <cp:lastPrinted>2021-01-18T10:54:00Z</cp:lastPrinted>
  <dcterms:created xsi:type="dcterms:W3CDTF">2024-01-26T10:08:00Z</dcterms:created>
  <dcterms:modified xsi:type="dcterms:W3CDTF">2024-01-26T10:12:00Z</dcterms:modified>
</cp:coreProperties>
</file>