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AA9C1" w14:textId="77777777" w:rsidR="00EC5882" w:rsidRPr="004C7C2A" w:rsidRDefault="00EC5882" w:rsidP="00EC5882">
      <w:pPr>
        <w:ind w:right="1382"/>
        <w:rPr>
          <w:rFonts w:ascii="Tahoma" w:eastAsia="Tahoma" w:hAnsi="Tahoma" w:cs="Tahoma"/>
          <w:sz w:val="16"/>
          <w:szCs w:val="16"/>
          <w:lang w:val="hr-HR"/>
        </w:rPr>
      </w:pPr>
      <w:bookmarkStart w:id="0" w:name="_Hlk1986561"/>
      <w:bookmarkStart w:id="1" w:name="_GoBack"/>
      <w:bookmarkEnd w:id="1"/>
    </w:p>
    <w:tbl>
      <w:tblPr>
        <w:tblpPr w:leftFromText="180" w:rightFromText="180" w:vertAnchor="text" w:horzAnchor="margin" w:tblpXSpec="center" w:tblpY="53"/>
        <w:tblW w:w="9356" w:type="dxa"/>
        <w:tblLayout w:type="fixed"/>
        <w:tblLook w:val="01E0" w:firstRow="1" w:lastRow="1" w:firstColumn="1" w:lastColumn="1" w:noHBand="0" w:noVBand="0"/>
      </w:tblPr>
      <w:tblGrid>
        <w:gridCol w:w="4111"/>
        <w:gridCol w:w="1134"/>
        <w:gridCol w:w="4111"/>
      </w:tblGrid>
      <w:tr w:rsidR="00EC5882" w:rsidRPr="0043227F" w14:paraId="59E863C7" w14:textId="77777777" w:rsidTr="00883788">
        <w:trPr>
          <w:cantSplit/>
        </w:trPr>
        <w:tc>
          <w:tcPr>
            <w:tcW w:w="4111" w:type="dxa"/>
          </w:tcPr>
          <w:bookmarkEnd w:id="0"/>
          <w:p w14:paraId="125F4555" w14:textId="77777777" w:rsidR="00EC5882" w:rsidRPr="00EC5882" w:rsidRDefault="00EC5882" w:rsidP="00EC5882">
            <w:pPr>
              <w:pStyle w:val="NormalIndent"/>
              <w:tabs>
                <w:tab w:val="center" w:pos="1947"/>
              </w:tabs>
              <w:ind w:left="0"/>
              <w:rPr>
                <w:rFonts w:ascii="Calibri" w:hAnsi="Calibri"/>
                <w:position w:val="14"/>
                <w:sz w:val="22"/>
                <w:szCs w:val="22"/>
              </w:rPr>
            </w:pPr>
            <w:r w:rsidRPr="00EC5882">
              <w:rPr>
                <w:rFonts w:ascii="Calibri" w:hAnsi="Calibri"/>
                <w:position w:val="14"/>
                <w:sz w:val="22"/>
                <w:szCs w:val="22"/>
              </w:rPr>
              <w:tab/>
              <w:t>B O S N A   I   H E R C E G O V I N A</w:t>
            </w:r>
          </w:p>
        </w:tc>
        <w:tc>
          <w:tcPr>
            <w:tcW w:w="1134" w:type="dxa"/>
            <w:vMerge w:val="restart"/>
            <w:tcBorders>
              <w:bottom w:val="single" w:sz="4" w:space="0" w:color="auto"/>
            </w:tcBorders>
            <w:vAlign w:val="center"/>
          </w:tcPr>
          <w:p w14:paraId="6BF376DD" w14:textId="77777777" w:rsidR="00EC5882" w:rsidRPr="00EC5882" w:rsidRDefault="00EC5882" w:rsidP="00883788">
            <w:pPr>
              <w:pStyle w:val="NormalIndent"/>
              <w:ind w:left="0"/>
              <w:jc w:val="center"/>
              <w:rPr>
                <w:rFonts w:ascii="Calibri" w:hAnsi="Calibri"/>
                <w:sz w:val="22"/>
                <w:szCs w:val="22"/>
              </w:rPr>
            </w:pPr>
            <w:r w:rsidRPr="00EC5882">
              <w:rPr>
                <w:rFonts w:ascii="Calibri" w:hAnsi="Calibri"/>
                <w:sz w:val="22"/>
                <w:szCs w:val="22"/>
              </w:rPr>
              <w:object w:dxaOrig="833" w:dyaOrig="943" w14:anchorId="1F6C9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3.5pt" o:ole="" fillcolor="window">
                  <v:imagedata r:id="rId9" o:title=""/>
                </v:shape>
                <o:OLEObject Type="Embed" ProgID="CorelDRAW.Graphic.9" ShapeID="_x0000_i1025" DrawAspect="Content" ObjectID="_1748590497" r:id="rId10"/>
              </w:object>
            </w:r>
          </w:p>
        </w:tc>
        <w:tc>
          <w:tcPr>
            <w:tcW w:w="4111" w:type="dxa"/>
          </w:tcPr>
          <w:p w14:paraId="7623E3D5" w14:textId="77777777" w:rsidR="00EC5882" w:rsidRPr="00EC5882" w:rsidRDefault="00EC5882" w:rsidP="00883788">
            <w:pPr>
              <w:pStyle w:val="NormalIndent"/>
              <w:ind w:left="0"/>
              <w:jc w:val="center"/>
              <w:rPr>
                <w:rFonts w:ascii="Calibri" w:hAnsi="Calibri"/>
                <w:sz w:val="22"/>
                <w:szCs w:val="22"/>
              </w:rPr>
            </w:pPr>
            <w:r w:rsidRPr="00EC5882">
              <w:rPr>
                <w:rFonts w:ascii="Calibri" w:hAnsi="Calibri"/>
                <w:sz w:val="22"/>
                <w:szCs w:val="22"/>
              </w:rPr>
              <w:t>Б О С Н А   И   Х Е Р Ц Е Г О В И Н А</w:t>
            </w:r>
          </w:p>
        </w:tc>
      </w:tr>
      <w:tr w:rsidR="00EC5882" w:rsidRPr="00B0602C" w14:paraId="09308374" w14:textId="77777777" w:rsidTr="00883788">
        <w:trPr>
          <w:cantSplit/>
        </w:trPr>
        <w:tc>
          <w:tcPr>
            <w:tcW w:w="4111" w:type="dxa"/>
          </w:tcPr>
          <w:p w14:paraId="4348BDCE" w14:textId="77777777" w:rsidR="00EC5882" w:rsidRPr="00B0602C" w:rsidRDefault="00EC5882" w:rsidP="00883788">
            <w:pPr>
              <w:pStyle w:val="NormalIndent"/>
              <w:ind w:left="0"/>
              <w:jc w:val="center"/>
              <w:rPr>
                <w:rFonts w:ascii="Calibri" w:hAnsi="Calibri"/>
                <w:position w:val="14"/>
                <w:sz w:val="22"/>
                <w:szCs w:val="22"/>
              </w:rPr>
            </w:pPr>
            <w:r w:rsidRPr="00B0602C">
              <w:rPr>
                <w:rFonts w:ascii="Calibri" w:hAnsi="Calibri"/>
                <w:position w:val="14"/>
                <w:sz w:val="22"/>
                <w:szCs w:val="22"/>
              </w:rPr>
              <w:t>VIJEĆE MINISTARA</w:t>
            </w:r>
          </w:p>
        </w:tc>
        <w:tc>
          <w:tcPr>
            <w:tcW w:w="1134" w:type="dxa"/>
            <w:vMerge/>
            <w:tcBorders>
              <w:bottom w:val="single" w:sz="4" w:space="0" w:color="auto"/>
            </w:tcBorders>
          </w:tcPr>
          <w:p w14:paraId="58A672FB" w14:textId="77777777" w:rsidR="00EC5882" w:rsidRPr="00B0602C" w:rsidRDefault="00EC5882" w:rsidP="00883788">
            <w:pPr>
              <w:pStyle w:val="NormalIndent"/>
              <w:ind w:left="0"/>
              <w:rPr>
                <w:rFonts w:ascii="Calibri" w:hAnsi="Calibri"/>
                <w:sz w:val="22"/>
                <w:szCs w:val="22"/>
              </w:rPr>
            </w:pPr>
          </w:p>
        </w:tc>
        <w:tc>
          <w:tcPr>
            <w:tcW w:w="4111" w:type="dxa"/>
          </w:tcPr>
          <w:p w14:paraId="0495FDA6" w14:textId="77777777" w:rsidR="00EC5882" w:rsidRPr="00B0602C" w:rsidRDefault="00EC5882" w:rsidP="00883788">
            <w:pPr>
              <w:pStyle w:val="NormalIndent"/>
              <w:ind w:left="0"/>
              <w:jc w:val="center"/>
              <w:rPr>
                <w:rFonts w:ascii="Calibri" w:hAnsi="Calibri"/>
                <w:sz w:val="22"/>
                <w:szCs w:val="22"/>
              </w:rPr>
            </w:pPr>
            <w:r w:rsidRPr="00B0602C">
              <w:rPr>
                <w:rFonts w:ascii="Calibri" w:hAnsi="Calibri"/>
                <w:sz w:val="22"/>
                <w:szCs w:val="22"/>
              </w:rPr>
              <w:t>САВЈЕТ МИНИСТАРА</w:t>
            </w:r>
          </w:p>
        </w:tc>
      </w:tr>
      <w:tr w:rsidR="00EC5882" w:rsidRPr="00B0602C" w14:paraId="2E0985D2" w14:textId="77777777" w:rsidTr="00883788">
        <w:trPr>
          <w:cantSplit/>
        </w:trPr>
        <w:tc>
          <w:tcPr>
            <w:tcW w:w="4111" w:type="dxa"/>
          </w:tcPr>
          <w:p w14:paraId="252FAAD2" w14:textId="77777777" w:rsidR="00EC5882" w:rsidRPr="00B0602C" w:rsidRDefault="00EC5882" w:rsidP="00883788">
            <w:pPr>
              <w:pStyle w:val="NormalIndent"/>
              <w:ind w:left="0"/>
              <w:jc w:val="center"/>
              <w:rPr>
                <w:rFonts w:ascii="Calibri" w:hAnsi="Calibri"/>
                <w:position w:val="14"/>
                <w:sz w:val="22"/>
                <w:szCs w:val="22"/>
              </w:rPr>
            </w:pPr>
            <w:r w:rsidRPr="00B0602C">
              <w:rPr>
                <w:rFonts w:ascii="Calibri" w:hAnsi="Calibri"/>
                <w:b/>
                <w:bCs/>
                <w:i/>
                <w:iCs/>
                <w:position w:val="14"/>
                <w:sz w:val="22"/>
                <w:szCs w:val="22"/>
              </w:rPr>
              <w:t>DIREKCIJA ZA EVROPSKE INTEGRACIJE</w:t>
            </w:r>
          </w:p>
        </w:tc>
        <w:tc>
          <w:tcPr>
            <w:tcW w:w="1134" w:type="dxa"/>
            <w:vMerge/>
            <w:tcBorders>
              <w:bottom w:val="single" w:sz="4" w:space="0" w:color="auto"/>
            </w:tcBorders>
          </w:tcPr>
          <w:p w14:paraId="30B8FE2D" w14:textId="77777777" w:rsidR="00EC5882" w:rsidRPr="00B0602C" w:rsidRDefault="00EC5882" w:rsidP="00883788">
            <w:pPr>
              <w:pStyle w:val="NormalIndent"/>
              <w:ind w:left="0"/>
              <w:rPr>
                <w:rFonts w:ascii="Calibri" w:hAnsi="Calibri"/>
                <w:sz w:val="22"/>
                <w:szCs w:val="22"/>
              </w:rPr>
            </w:pPr>
          </w:p>
        </w:tc>
        <w:tc>
          <w:tcPr>
            <w:tcW w:w="4111" w:type="dxa"/>
          </w:tcPr>
          <w:p w14:paraId="43FBCD8D" w14:textId="77777777" w:rsidR="00EC5882" w:rsidRPr="00B0602C" w:rsidRDefault="00EC5882" w:rsidP="00883788">
            <w:pPr>
              <w:pStyle w:val="NormalIndent"/>
              <w:ind w:left="0"/>
              <w:jc w:val="center"/>
              <w:rPr>
                <w:rFonts w:ascii="Calibri" w:hAnsi="Calibri"/>
                <w:sz w:val="22"/>
                <w:szCs w:val="22"/>
              </w:rPr>
            </w:pPr>
          </w:p>
        </w:tc>
      </w:tr>
      <w:tr w:rsidR="00EC5882" w:rsidRPr="00B0602C" w14:paraId="30A5E24A" w14:textId="77777777" w:rsidTr="00883788">
        <w:trPr>
          <w:cantSplit/>
        </w:trPr>
        <w:tc>
          <w:tcPr>
            <w:tcW w:w="4111" w:type="dxa"/>
            <w:tcBorders>
              <w:bottom w:val="single" w:sz="4" w:space="0" w:color="auto"/>
            </w:tcBorders>
          </w:tcPr>
          <w:p w14:paraId="3E5F9CD6" w14:textId="77777777" w:rsidR="00EC5882" w:rsidRPr="00B0602C" w:rsidRDefault="00EC5882" w:rsidP="00883788">
            <w:pPr>
              <w:pStyle w:val="NormalIndent"/>
              <w:ind w:left="0"/>
              <w:jc w:val="center"/>
              <w:rPr>
                <w:rFonts w:ascii="Calibri" w:hAnsi="Calibri"/>
                <w:position w:val="14"/>
                <w:sz w:val="22"/>
                <w:szCs w:val="22"/>
              </w:rPr>
            </w:pPr>
            <w:r w:rsidRPr="00B0602C">
              <w:rPr>
                <w:rFonts w:ascii="Calibri" w:hAnsi="Calibri"/>
                <w:b/>
                <w:bCs/>
                <w:i/>
                <w:iCs/>
                <w:position w:val="14"/>
                <w:sz w:val="22"/>
                <w:szCs w:val="22"/>
              </w:rPr>
              <w:t>DIREKCIJA ZA EUROPSKE INTEGRACIJE</w:t>
            </w:r>
          </w:p>
        </w:tc>
        <w:tc>
          <w:tcPr>
            <w:tcW w:w="1134" w:type="dxa"/>
            <w:vMerge/>
            <w:tcBorders>
              <w:bottom w:val="single" w:sz="4" w:space="0" w:color="auto"/>
            </w:tcBorders>
          </w:tcPr>
          <w:p w14:paraId="75108585" w14:textId="77777777" w:rsidR="00EC5882" w:rsidRPr="00B0602C" w:rsidRDefault="00EC5882" w:rsidP="00883788">
            <w:pPr>
              <w:pStyle w:val="NormalIndent"/>
              <w:ind w:left="0"/>
              <w:rPr>
                <w:rFonts w:ascii="Calibri" w:hAnsi="Calibri"/>
                <w:sz w:val="22"/>
                <w:szCs w:val="22"/>
              </w:rPr>
            </w:pPr>
          </w:p>
        </w:tc>
        <w:tc>
          <w:tcPr>
            <w:tcW w:w="4111" w:type="dxa"/>
            <w:tcBorders>
              <w:bottom w:val="single" w:sz="4" w:space="0" w:color="auto"/>
            </w:tcBorders>
          </w:tcPr>
          <w:p w14:paraId="15DF3FF9" w14:textId="77777777" w:rsidR="00EC5882" w:rsidRPr="00B0602C" w:rsidRDefault="00EC5882" w:rsidP="00883788">
            <w:pPr>
              <w:pStyle w:val="NormalIndent"/>
              <w:ind w:left="0"/>
              <w:jc w:val="center"/>
              <w:rPr>
                <w:rFonts w:ascii="Calibri" w:hAnsi="Calibri"/>
                <w:sz w:val="22"/>
                <w:szCs w:val="22"/>
              </w:rPr>
            </w:pPr>
            <w:r w:rsidRPr="00B0602C">
              <w:rPr>
                <w:rFonts w:ascii="Calibri" w:hAnsi="Calibri"/>
                <w:b/>
                <w:bCs/>
                <w:i/>
                <w:iCs/>
                <w:sz w:val="22"/>
                <w:szCs w:val="22"/>
              </w:rPr>
              <w:t>ДИРЕКЦИЈА ЗА ЕВРОПСКЕ ИНТЕГРАЦИЈЕ</w:t>
            </w:r>
          </w:p>
        </w:tc>
      </w:tr>
    </w:tbl>
    <w:p w14:paraId="66E6F883" w14:textId="77777777" w:rsidR="0030601D" w:rsidRPr="00EC145B" w:rsidRDefault="00EC5882" w:rsidP="00EC5882">
      <w:pPr>
        <w:spacing w:line="180" w:lineRule="exact"/>
        <w:ind w:left="750"/>
        <w:rPr>
          <w:sz w:val="16"/>
          <w:szCs w:val="16"/>
          <w:lang w:val="ru-RU"/>
        </w:rPr>
      </w:pPr>
      <w:r>
        <w:rPr>
          <w:b/>
          <w:i/>
          <w:sz w:val="16"/>
          <w:szCs w:val="16"/>
          <w:lang w:val="hr-HR"/>
        </w:rPr>
        <w:t xml:space="preserve">                                                                                                                                 </w:t>
      </w:r>
      <w:r>
        <w:rPr>
          <w:b/>
          <w:i/>
          <w:spacing w:val="-1"/>
          <w:sz w:val="16"/>
          <w:szCs w:val="16"/>
          <w:lang w:val="hr-HR"/>
        </w:rPr>
        <w:t xml:space="preserve">                                           </w:t>
      </w:r>
    </w:p>
    <w:p w14:paraId="45D8AC4E" w14:textId="77777777" w:rsidR="0030601D" w:rsidRPr="00EC145B" w:rsidRDefault="0030601D">
      <w:pPr>
        <w:spacing w:before="8" w:line="200" w:lineRule="exact"/>
        <w:rPr>
          <w:lang w:val="ru-RU"/>
        </w:rPr>
      </w:pPr>
    </w:p>
    <w:p w14:paraId="245709B3" w14:textId="19801AF6" w:rsidR="0030601D" w:rsidRPr="00974FD4" w:rsidRDefault="004C7C2A" w:rsidP="004C7C2A">
      <w:pPr>
        <w:jc w:val="both"/>
        <w:rPr>
          <w:rFonts w:asciiTheme="minorHAnsi" w:eastAsia="Calibri" w:hAnsiTheme="minorHAnsi" w:cstheme="minorHAnsi"/>
          <w:sz w:val="24"/>
          <w:szCs w:val="24"/>
          <w:lang w:val="hr-HR"/>
        </w:rPr>
      </w:pPr>
      <w:proofErr w:type="spellStart"/>
      <w:r w:rsidRPr="004C7C2A">
        <w:rPr>
          <w:rFonts w:asciiTheme="minorHAnsi" w:eastAsia="Calibri" w:hAnsiTheme="minorHAnsi" w:cstheme="minorHAnsi"/>
          <w:i/>
          <w:spacing w:val="1"/>
          <w:sz w:val="24"/>
          <w:szCs w:val="24"/>
        </w:rPr>
        <w:t>Сарајево</w:t>
      </w:r>
      <w:proofErr w:type="spellEnd"/>
      <w:r w:rsidR="007B2BBE" w:rsidRPr="00974FD4">
        <w:rPr>
          <w:rFonts w:asciiTheme="minorHAnsi" w:eastAsia="Calibri" w:hAnsiTheme="minorHAnsi" w:cstheme="minorHAnsi"/>
          <w:i/>
          <w:sz w:val="24"/>
          <w:szCs w:val="24"/>
        </w:rPr>
        <w:t>,</w:t>
      </w:r>
      <w:r w:rsidR="000306E7" w:rsidRPr="00974FD4">
        <w:rPr>
          <w:rFonts w:asciiTheme="minorHAnsi" w:eastAsia="Calibri" w:hAnsiTheme="minorHAnsi" w:cstheme="minorHAnsi"/>
          <w:spacing w:val="1"/>
          <w:sz w:val="24"/>
          <w:szCs w:val="24"/>
        </w:rPr>
        <w:t xml:space="preserve"> </w:t>
      </w:r>
      <w:r w:rsidR="00974FD4">
        <w:rPr>
          <w:rFonts w:asciiTheme="minorHAnsi" w:eastAsia="Calibri" w:hAnsiTheme="minorHAnsi" w:cstheme="minorHAnsi"/>
          <w:spacing w:val="1"/>
          <w:sz w:val="24"/>
          <w:szCs w:val="24"/>
        </w:rPr>
        <w:t xml:space="preserve">16.06.2023. </w:t>
      </w:r>
      <w:proofErr w:type="spellStart"/>
      <w:r w:rsidRPr="004C7C2A">
        <w:rPr>
          <w:rFonts w:asciiTheme="minorHAnsi" w:eastAsia="Calibri" w:hAnsiTheme="minorHAnsi" w:cstheme="minorHAnsi"/>
          <w:spacing w:val="1"/>
          <w:sz w:val="24"/>
          <w:szCs w:val="24"/>
        </w:rPr>
        <w:t>године</w:t>
      </w:r>
      <w:proofErr w:type="spellEnd"/>
    </w:p>
    <w:p w14:paraId="0671ABD9" w14:textId="4675E887" w:rsidR="00AA620B" w:rsidRPr="00AA620B" w:rsidRDefault="004C7C2A" w:rsidP="004C7C2A">
      <w:pPr>
        <w:jc w:val="both"/>
        <w:rPr>
          <w:rFonts w:asciiTheme="minorHAnsi" w:eastAsia="Calibri" w:hAnsiTheme="minorHAnsi" w:cstheme="minorHAnsi"/>
          <w:sz w:val="24"/>
          <w:szCs w:val="24"/>
        </w:rPr>
      </w:pPr>
      <w:r w:rsidRPr="004C7C2A">
        <w:rPr>
          <w:rFonts w:asciiTheme="minorHAnsi" w:eastAsia="Calibri" w:hAnsiTheme="minorHAnsi" w:cstheme="minorHAnsi"/>
          <w:i/>
          <w:spacing w:val="1"/>
          <w:sz w:val="24"/>
          <w:szCs w:val="24"/>
        </w:rPr>
        <w:t>МЕДИЈИМА</w:t>
      </w:r>
    </w:p>
    <w:p w14:paraId="54D20144" w14:textId="46D538BF" w:rsidR="00244125" w:rsidRPr="00FD6A09" w:rsidRDefault="004C7C2A" w:rsidP="00F972E5">
      <w:pPr>
        <w:jc w:val="center"/>
        <w:rPr>
          <w:rFonts w:asciiTheme="minorHAnsi" w:hAnsiTheme="minorHAnsi" w:cstheme="minorHAnsi"/>
          <w:b/>
          <w:noProof/>
          <w:sz w:val="24"/>
          <w:szCs w:val="24"/>
          <w:lang w:val="hr-HR" w:eastAsia="en-GB"/>
        </w:rPr>
      </w:pPr>
      <w:r w:rsidRPr="004C7C2A">
        <w:rPr>
          <w:rFonts w:asciiTheme="minorHAnsi" w:hAnsiTheme="minorHAnsi" w:cstheme="minorHAnsi"/>
          <w:b/>
          <w:noProof/>
          <w:sz w:val="24"/>
          <w:szCs w:val="24"/>
          <w:lang w:val="hr-HR" w:eastAsia="en-GB"/>
        </w:rPr>
        <w:t>САОПЧЕЊЕ ЗА МЕДИЈЕ</w:t>
      </w:r>
    </w:p>
    <w:p w14:paraId="7353AC7A" w14:textId="1E54448C" w:rsidR="00790303" w:rsidRDefault="004C7C2A" w:rsidP="004C7C2A">
      <w:pPr>
        <w:tabs>
          <w:tab w:val="left" w:pos="7515"/>
        </w:tabs>
        <w:autoSpaceDE w:val="0"/>
        <w:autoSpaceDN w:val="0"/>
        <w:adjustRightInd w:val="0"/>
        <w:jc w:val="center"/>
        <w:rPr>
          <w:rFonts w:asciiTheme="minorHAnsi" w:hAnsiTheme="minorHAnsi" w:cstheme="minorHAnsi"/>
          <w:b/>
          <w:sz w:val="24"/>
          <w:szCs w:val="24"/>
          <w:lang w:val="hr-HR"/>
        </w:rPr>
      </w:pPr>
      <w:r w:rsidRPr="004C7C2A">
        <w:rPr>
          <w:rFonts w:asciiTheme="minorHAnsi" w:hAnsiTheme="minorHAnsi" w:cstheme="minorHAnsi"/>
          <w:b/>
          <w:sz w:val="24"/>
          <w:szCs w:val="24"/>
          <w:lang w:val="hr-HR"/>
        </w:rPr>
        <w:t>Комисија позвала БиХ да подузме даљње кораке на испуњавању 14 кључних приоритета</w:t>
      </w:r>
    </w:p>
    <w:p w14:paraId="21D67824" w14:textId="77777777" w:rsidR="004C7C2A" w:rsidRPr="00DF595D" w:rsidRDefault="004C7C2A" w:rsidP="004C7C2A">
      <w:pPr>
        <w:tabs>
          <w:tab w:val="left" w:pos="7515"/>
        </w:tabs>
        <w:autoSpaceDE w:val="0"/>
        <w:autoSpaceDN w:val="0"/>
        <w:adjustRightInd w:val="0"/>
        <w:jc w:val="center"/>
        <w:rPr>
          <w:rFonts w:asciiTheme="minorHAnsi" w:hAnsiTheme="minorHAnsi" w:cstheme="minorHAnsi"/>
          <w:sz w:val="24"/>
          <w:szCs w:val="24"/>
          <w:lang w:val="hr-HR" w:eastAsia="en-GB"/>
        </w:rPr>
      </w:pPr>
    </w:p>
    <w:p w14:paraId="10AA08F4" w14:textId="19BE3466" w:rsidR="00DF595D" w:rsidRDefault="004C7C2A" w:rsidP="00FD6A09">
      <w:pPr>
        <w:autoSpaceDE w:val="0"/>
        <w:autoSpaceDN w:val="0"/>
        <w:adjustRightInd w:val="0"/>
        <w:jc w:val="both"/>
        <w:rPr>
          <w:rFonts w:asciiTheme="minorHAnsi" w:hAnsiTheme="minorHAnsi" w:cstheme="minorHAnsi"/>
          <w:sz w:val="24"/>
          <w:szCs w:val="24"/>
          <w:lang w:val="sr-Latn-BA" w:eastAsia="en-GB"/>
        </w:rPr>
      </w:pPr>
      <w:r w:rsidRPr="004C7C2A">
        <w:rPr>
          <w:rFonts w:asciiTheme="minorHAnsi" w:hAnsiTheme="minorHAnsi" w:cstheme="minorHAnsi"/>
          <w:sz w:val="24"/>
          <w:szCs w:val="24"/>
          <w:lang w:val="sr-Latn-BA" w:eastAsia="en-GB"/>
        </w:rPr>
        <w:t>Европска комисија је на шестом састанку Одбора за стабилизацију и придруживање између ЕУ и БиХ, који је одржан данас путем видео-конференције, позвала БиХ да подузме даљње кораке на испуњавању 14 кључних приоритета из Мишљења. Подцртана је важност даљних корака на јачању владавине права, борбе против корупције и организираног криминала.</w:t>
      </w:r>
    </w:p>
    <w:p w14:paraId="30ECEF98" w14:textId="77777777" w:rsidR="004C7C2A" w:rsidRDefault="004C7C2A" w:rsidP="00FD6A09">
      <w:pPr>
        <w:autoSpaceDE w:val="0"/>
        <w:autoSpaceDN w:val="0"/>
        <w:adjustRightInd w:val="0"/>
        <w:jc w:val="both"/>
        <w:rPr>
          <w:rFonts w:asciiTheme="minorHAnsi" w:hAnsiTheme="minorHAnsi" w:cstheme="minorHAnsi"/>
          <w:sz w:val="24"/>
          <w:szCs w:val="24"/>
          <w:lang w:val="sr-Latn-BA" w:eastAsia="en-GB"/>
        </w:rPr>
      </w:pPr>
    </w:p>
    <w:p w14:paraId="63BB889C" w14:textId="29576EE6" w:rsidR="005B00F3" w:rsidRDefault="004C7C2A" w:rsidP="00FD6A09">
      <w:pPr>
        <w:autoSpaceDE w:val="0"/>
        <w:autoSpaceDN w:val="0"/>
        <w:adjustRightInd w:val="0"/>
        <w:jc w:val="both"/>
        <w:rPr>
          <w:rFonts w:asciiTheme="minorHAnsi" w:hAnsiTheme="minorHAnsi" w:cstheme="minorHAnsi"/>
          <w:sz w:val="24"/>
          <w:szCs w:val="24"/>
          <w:lang w:val="sr-Latn-BA" w:eastAsia="en-GB"/>
        </w:rPr>
      </w:pPr>
      <w:r w:rsidRPr="004C7C2A">
        <w:rPr>
          <w:rFonts w:asciiTheme="minorHAnsi" w:hAnsiTheme="minorHAnsi" w:cstheme="minorHAnsi"/>
          <w:sz w:val="24"/>
          <w:szCs w:val="24"/>
          <w:lang w:val="sr-Latn-BA" w:eastAsia="en-GB"/>
        </w:rPr>
        <w:t>Комисија је, међу осталим, поздравила одржавање опћих избора, брзу успоставу извршне и законодавне власти на државном и другим нивоима власти, утврђивање приједлога измјена и допуна закона о ВСТВ-у, пуну оперативност сарадње с ЕУРОПОЛ-ом.</w:t>
      </w:r>
    </w:p>
    <w:p w14:paraId="1A463B1C" w14:textId="77777777" w:rsidR="004C7C2A" w:rsidRDefault="004C7C2A" w:rsidP="00FD6A09">
      <w:pPr>
        <w:autoSpaceDE w:val="0"/>
        <w:autoSpaceDN w:val="0"/>
        <w:adjustRightInd w:val="0"/>
        <w:jc w:val="both"/>
        <w:rPr>
          <w:rFonts w:asciiTheme="minorHAnsi" w:hAnsiTheme="minorHAnsi" w:cstheme="minorHAnsi"/>
          <w:sz w:val="24"/>
          <w:szCs w:val="24"/>
          <w:lang w:val="sr-Latn-BA" w:eastAsia="en-GB"/>
        </w:rPr>
      </w:pPr>
    </w:p>
    <w:p w14:paraId="7DDF6342" w14:textId="16FD5CDB" w:rsidR="00C64D25" w:rsidRDefault="004C7C2A" w:rsidP="00FD6A09">
      <w:pPr>
        <w:autoSpaceDE w:val="0"/>
        <w:autoSpaceDN w:val="0"/>
        <w:adjustRightInd w:val="0"/>
        <w:jc w:val="both"/>
        <w:rPr>
          <w:rFonts w:asciiTheme="minorHAnsi" w:hAnsiTheme="minorHAnsi" w:cstheme="minorHAnsi"/>
          <w:sz w:val="24"/>
          <w:szCs w:val="24"/>
          <w:lang w:val="sr-Latn-BA" w:eastAsia="en-GB"/>
        </w:rPr>
      </w:pPr>
      <w:r w:rsidRPr="004C7C2A">
        <w:rPr>
          <w:rFonts w:asciiTheme="minorHAnsi" w:hAnsiTheme="minorHAnsi" w:cstheme="minorHAnsi"/>
          <w:sz w:val="24"/>
          <w:szCs w:val="24"/>
          <w:lang w:val="sr-Latn-BA" w:eastAsia="en-GB"/>
        </w:rPr>
        <w:t>Власти у БиХ су охрабрене да обнове дискусију о изборној и уставној реформи. Од власти у БиХ се очекује што скорија израда и усвајање Програма интегрирања БиХ у ЕУ. Европска комисија је поздравила остварени напредак у реформи јавне управе, али и нагласила како је потребно да се финализирају раније утврђени кораци.</w:t>
      </w:r>
    </w:p>
    <w:p w14:paraId="10DFF7C8" w14:textId="77777777" w:rsidR="004C7C2A" w:rsidRDefault="004C7C2A" w:rsidP="00FD6A09">
      <w:pPr>
        <w:autoSpaceDE w:val="0"/>
        <w:autoSpaceDN w:val="0"/>
        <w:adjustRightInd w:val="0"/>
        <w:jc w:val="both"/>
        <w:rPr>
          <w:rFonts w:asciiTheme="minorHAnsi" w:hAnsiTheme="minorHAnsi" w:cstheme="minorHAnsi"/>
          <w:sz w:val="24"/>
          <w:szCs w:val="24"/>
          <w:lang w:val="sr-Latn-BA" w:eastAsia="en-GB"/>
        </w:rPr>
      </w:pPr>
    </w:p>
    <w:p w14:paraId="207A2EE0" w14:textId="7108A5CE" w:rsidR="007C6FDD" w:rsidRDefault="004C7C2A" w:rsidP="00FD6A09">
      <w:pPr>
        <w:autoSpaceDE w:val="0"/>
        <w:autoSpaceDN w:val="0"/>
        <w:adjustRightInd w:val="0"/>
        <w:jc w:val="both"/>
        <w:rPr>
          <w:rFonts w:asciiTheme="minorHAnsi" w:hAnsiTheme="minorHAnsi" w:cstheme="minorHAnsi"/>
          <w:sz w:val="24"/>
          <w:szCs w:val="24"/>
          <w:lang w:val="sr-Latn-BA" w:eastAsia="en-GB"/>
        </w:rPr>
      </w:pPr>
      <w:r w:rsidRPr="004C7C2A">
        <w:rPr>
          <w:rFonts w:asciiTheme="minorHAnsi" w:hAnsiTheme="minorHAnsi" w:cstheme="minorHAnsi"/>
          <w:sz w:val="24"/>
          <w:szCs w:val="24"/>
          <w:lang w:val="sr-Latn-BA" w:eastAsia="en-GB"/>
        </w:rPr>
        <w:t>Делегација БиХ је истакла посвећеност БиХ јачању регионалне сарадње. Комисија је поздравила напредак у усаглашавању са вањском политиком ЕУ, а позвала је БиХ да ратифицира три регионална споразума о мобилности која су закључена у Берлину и који су корак ка заједничком регионалном тржишту као и важна припрема за суђеловање у унутрашњем тржишту ЕУ.</w:t>
      </w:r>
    </w:p>
    <w:p w14:paraId="73CDC03A" w14:textId="77777777" w:rsidR="004C7C2A" w:rsidRPr="00FD6A09" w:rsidRDefault="004C7C2A" w:rsidP="00FD6A09">
      <w:pPr>
        <w:autoSpaceDE w:val="0"/>
        <w:autoSpaceDN w:val="0"/>
        <w:adjustRightInd w:val="0"/>
        <w:jc w:val="both"/>
        <w:rPr>
          <w:rFonts w:asciiTheme="minorHAnsi" w:hAnsiTheme="minorHAnsi" w:cstheme="minorHAnsi"/>
          <w:sz w:val="24"/>
          <w:szCs w:val="24"/>
          <w:lang w:val="sr-Latn-BA" w:eastAsia="en-GB"/>
        </w:rPr>
      </w:pPr>
    </w:p>
    <w:p w14:paraId="6086422A" w14:textId="55ACF000" w:rsidR="00AA620B" w:rsidRDefault="004C7C2A" w:rsidP="00FD6A09">
      <w:pPr>
        <w:autoSpaceDE w:val="0"/>
        <w:autoSpaceDN w:val="0"/>
        <w:adjustRightInd w:val="0"/>
        <w:jc w:val="both"/>
        <w:rPr>
          <w:rFonts w:asciiTheme="minorHAnsi" w:hAnsiTheme="minorHAnsi" w:cstheme="minorHAnsi"/>
          <w:sz w:val="24"/>
          <w:szCs w:val="24"/>
          <w:lang w:val="sr-Latn-BA" w:eastAsia="en-GB"/>
        </w:rPr>
      </w:pPr>
      <w:r w:rsidRPr="004C7C2A">
        <w:rPr>
          <w:rFonts w:asciiTheme="minorHAnsi" w:hAnsiTheme="minorHAnsi" w:cstheme="minorHAnsi"/>
          <w:sz w:val="24"/>
          <w:szCs w:val="24"/>
          <w:lang w:val="sr-Latn-BA" w:eastAsia="en-GB"/>
        </w:rPr>
        <w:t xml:space="preserve">Комисија је истакла важност унапријеђења функционирања правосуђа без одлагања, посебно кроз усвајање новог законодавства о ВСТВ-у и судовима БиХ у складу са европским стандардима, те напретка у борби против корупције и организираног криминала кроз усвајање новог закона о сукобу интереса на државном нивоу. Европска комисија је позвала на развој даљње сарадње са агенцијама ЕУ као што је ЕУРОЈУСТ, ФРОНТЕX и Агенцијом ЕУ за азил, те усклађивање законодавства о заштити податак са </w:t>
      </w:r>
      <w:r w:rsidRPr="004C7C2A">
        <w:rPr>
          <w:rFonts w:asciiTheme="minorHAnsi" w:hAnsiTheme="minorHAnsi" w:cstheme="minorHAnsi"/>
          <w:i/>
          <w:sz w:val="24"/>
          <w:szCs w:val="24"/>
          <w:lang w:val="sr-Latn-BA" w:eastAsia="en-GB"/>
        </w:rPr>
        <w:t>acquis</w:t>
      </w:r>
      <w:r w:rsidRPr="004C7C2A">
        <w:rPr>
          <w:rFonts w:asciiTheme="minorHAnsi" w:hAnsiTheme="minorHAnsi" w:cstheme="minorHAnsi"/>
          <w:sz w:val="24"/>
          <w:szCs w:val="24"/>
          <w:lang w:val="sr-Latn-BA" w:eastAsia="en-GB"/>
        </w:rPr>
        <w:t>-ем.</w:t>
      </w:r>
    </w:p>
    <w:p w14:paraId="6680106E" w14:textId="77777777" w:rsidR="004C7C2A" w:rsidRDefault="004C7C2A" w:rsidP="00FD6A09">
      <w:pPr>
        <w:autoSpaceDE w:val="0"/>
        <w:autoSpaceDN w:val="0"/>
        <w:adjustRightInd w:val="0"/>
        <w:jc w:val="both"/>
        <w:rPr>
          <w:rFonts w:asciiTheme="minorHAnsi" w:hAnsiTheme="minorHAnsi" w:cstheme="minorHAnsi"/>
          <w:sz w:val="24"/>
          <w:szCs w:val="24"/>
          <w:lang w:val="sr-Latn-BA" w:eastAsia="en-GB"/>
        </w:rPr>
      </w:pPr>
    </w:p>
    <w:p w14:paraId="19C8E022" w14:textId="687BE0B2" w:rsidR="00AA620B" w:rsidRPr="00FD6A09" w:rsidRDefault="004C7C2A" w:rsidP="00FD6A09">
      <w:pPr>
        <w:autoSpaceDE w:val="0"/>
        <w:autoSpaceDN w:val="0"/>
        <w:adjustRightInd w:val="0"/>
        <w:jc w:val="both"/>
        <w:rPr>
          <w:rFonts w:asciiTheme="minorHAnsi" w:hAnsiTheme="minorHAnsi" w:cstheme="minorHAnsi"/>
          <w:sz w:val="24"/>
          <w:szCs w:val="24"/>
          <w:lang w:val="sr-Latn-BA" w:eastAsia="en-GB"/>
        </w:rPr>
      </w:pPr>
      <w:r w:rsidRPr="004C7C2A">
        <w:rPr>
          <w:rFonts w:asciiTheme="minorHAnsi" w:hAnsiTheme="minorHAnsi" w:cstheme="minorHAnsi"/>
          <w:sz w:val="24"/>
          <w:szCs w:val="24"/>
          <w:lang w:val="sr-Latn-BA" w:eastAsia="en-GB"/>
        </w:rPr>
        <w:t>Европска комисија је поздравила остварени напредак у области управљања миграцијама, али и даље је потребно јачати координацију у овој те областима азила и управљања границама. Истакнута је потреба усвајања закона о граничној контроли.</w:t>
      </w:r>
    </w:p>
    <w:p w14:paraId="39254A4B" w14:textId="418F3ACB" w:rsidR="00563785" w:rsidRDefault="004C7C2A" w:rsidP="00FD6A09">
      <w:pPr>
        <w:autoSpaceDE w:val="0"/>
        <w:autoSpaceDN w:val="0"/>
        <w:adjustRightInd w:val="0"/>
        <w:jc w:val="both"/>
        <w:rPr>
          <w:rFonts w:asciiTheme="minorHAnsi" w:hAnsiTheme="minorHAnsi" w:cstheme="minorHAnsi"/>
          <w:sz w:val="24"/>
          <w:szCs w:val="24"/>
          <w:lang w:val="sr-Latn-BA" w:eastAsia="en-GB"/>
        </w:rPr>
      </w:pPr>
      <w:r w:rsidRPr="004C7C2A">
        <w:rPr>
          <w:rFonts w:asciiTheme="minorHAnsi" w:hAnsiTheme="minorHAnsi" w:cstheme="minorHAnsi"/>
          <w:sz w:val="24"/>
          <w:szCs w:val="24"/>
          <w:lang w:val="sr-Latn-BA" w:eastAsia="en-GB"/>
        </w:rPr>
        <w:lastRenderedPageBreak/>
        <w:t>Комисија је поздравила кораке подузете везано за успоставу националног превентивног механизма против мучења и злостављања, те позвала на што скорије усвајање измјена и допуна закона о Институцији Омбудсмана за људска права у БиХ у ПСБиХ.</w:t>
      </w:r>
    </w:p>
    <w:p w14:paraId="2ECF5E54" w14:textId="77777777" w:rsidR="004C7C2A" w:rsidRPr="00FD6A09" w:rsidRDefault="004C7C2A" w:rsidP="00FD6A09">
      <w:pPr>
        <w:autoSpaceDE w:val="0"/>
        <w:autoSpaceDN w:val="0"/>
        <w:adjustRightInd w:val="0"/>
        <w:jc w:val="both"/>
        <w:rPr>
          <w:rFonts w:asciiTheme="minorHAnsi" w:hAnsiTheme="minorHAnsi" w:cstheme="minorHAnsi"/>
          <w:sz w:val="24"/>
          <w:szCs w:val="24"/>
          <w:lang w:val="sr-Latn-BA" w:eastAsia="en-GB"/>
        </w:rPr>
      </w:pPr>
    </w:p>
    <w:p w14:paraId="26013427" w14:textId="6623E15E" w:rsidR="00FD6A09" w:rsidRDefault="004C7C2A" w:rsidP="00FD6A09">
      <w:pPr>
        <w:autoSpaceDE w:val="0"/>
        <w:autoSpaceDN w:val="0"/>
        <w:adjustRightInd w:val="0"/>
        <w:jc w:val="both"/>
        <w:rPr>
          <w:rFonts w:asciiTheme="minorHAnsi" w:hAnsiTheme="minorHAnsi" w:cstheme="minorHAnsi"/>
          <w:sz w:val="24"/>
          <w:szCs w:val="24"/>
          <w:lang w:val="sr-Latn-BA" w:eastAsia="en-GB"/>
        </w:rPr>
      </w:pPr>
      <w:r w:rsidRPr="004C7C2A">
        <w:rPr>
          <w:rFonts w:asciiTheme="minorHAnsi" w:hAnsiTheme="minorHAnsi" w:cstheme="minorHAnsi"/>
          <w:sz w:val="24"/>
          <w:szCs w:val="24"/>
          <w:lang w:val="sr-Latn-BA" w:eastAsia="en-GB"/>
        </w:rPr>
        <w:t>Европска комисија је изразила жаљење због недостатка напретка у слободи изражавања и сигурности новинара, те позвала БиХ да осигура поштивање европских стандарда везано за слободу удруживања и окупљања.</w:t>
      </w:r>
    </w:p>
    <w:p w14:paraId="0989B875" w14:textId="77777777" w:rsidR="004C7C2A" w:rsidRPr="00FD6A09" w:rsidRDefault="004C7C2A" w:rsidP="00FD6A09">
      <w:pPr>
        <w:autoSpaceDE w:val="0"/>
        <w:autoSpaceDN w:val="0"/>
        <w:adjustRightInd w:val="0"/>
        <w:jc w:val="both"/>
        <w:rPr>
          <w:rFonts w:asciiTheme="minorHAnsi" w:hAnsiTheme="minorHAnsi" w:cstheme="minorHAnsi"/>
          <w:sz w:val="24"/>
          <w:szCs w:val="24"/>
          <w:lang w:val="sr-Latn-BA" w:eastAsia="en-GB"/>
        </w:rPr>
      </w:pPr>
    </w:p>
    <w:p w14:paraId="5CB27D92" w14:textId="1A950BB5" w:rsidR="00D107E4" w:rsidRDefault="004C7C2A" w:rsidP="007C6FDD">
      <w:pPr>
        <w:autoSpaceDE w:val="0"/>
        <w:autoSpaceDN w:val="0"/>
        <w:adjustRightInd w:val="0"/>
        <w:contextualSpacing/>
        <w:jc w:val="both"/>
        <w:rPr>
          <w:rFonts w:asciiTheme="minorHAnsi" w:hAnsiTheme="minorHAnsi" w:cstheme="minorHAnsi"/>
          <w:sz w:val="24"/>
          <w:szCs w:val="24"/>
          <w:lang w:val="sr-Latn-BA" w:eastAsia="en-GB"/>
        </w:rPr>
      </w:pPr>
      <w:r w:rsidRPr="004C7C2A">
        <w:rPr>
          <w:rFonts w:asciiTheme="minorHAnsi" w:hAnsiTheme="minorHAnsi" w:cstheme="minorHAnsi"/>
          <w:sz w:val="24"/>
          <w:szCs w:val="24"/>
          <w:lang w:val="sr-Latn-BA" w:eastAsia="en-GB"/>
        </w:rPr>
        <w:t>Истакнуто је да економско управљање и даље трпи због неодговарајуће сарадње ентитета и државе. Комисија позвала БиХ на провођење пољопривредног пописа и припрема за попис становништва.</w:t>
      </w:r>
    </w:p>
    <w:p w14:paraId="62EEE3E9" w14:textId="77777777" w:rsidR="004C7C2A" w:rsidRPr="00FD6A09" w:rsidRDefault="004C7C2A" w:rsidP="007C6FDD">
      <w:pPr>
        <w:autoSpaceDE w:val="0"/>
        <w:autoSpaceDN w:val="0"/>
        <w:adjustRightInd w:val="0"/>
        <w:contextualSpacing/>
        <w:jc w:val="both"/>
        <w:rPr>
          <w:rFonts w:asciiTheme="minorHAnsi" w:hAnsiTheme="minorHAnsi" w:cstheme="minorHAnsi"/>
          <w:sz w:val="24"/>
          <w:szCs w:val="24"/>
          <w:lang w:val="sr-Latn-BA" w:eastAsia="en-GB"/>
        </w:rPr>
      </w:pPr>
    </w:p>
    <w:p w14:paraId="067C7C39" w14:textId="050A447E" w:rsidR="00EB2A11" w:rsidRDefault="004C7C2A" w:rsidP="007C6FDD">
      <w:pPr>
        <w:autoSpaceDE w:val="0"/>
        <w:autoSpaceDN w:val="0"/>
        <w:adjustRightInd w:val="0"/>
        <w:contextualSpacing/>
        <w:jc w:val="both"/>
        <w:rPr>
          <w:rFonts w:asciiTheme="minorHAnsi" w:hAnsiTheme="minorHAnsi" w:cstheme="minorHAnsi"/>
          <w:sz w:val="24"/>
          <w:szCs w:val="24"/>
          <w:lang w:val="sr-Latn-BA" w:eastAsia="en-GB"/>
        </w:rPr>
      </w:pPr>
      <w:r w:rsidRPr="004C7C2A">
        <w:rPr>
          <w:rFonts w:asciiTheme="minorHAnsi" w:hAnsiTheme="minorHAnsi" w:cstheme="minorHAnsi"/>
          <w:sz w:val="24"/>
          <w:szCs w:val="24"/>
          <w:lang w:val="sr-Latn-BA" w:eastAsia="en-GB"/>
        </w:rPr>
        <w:t>Европска комисија је изразила очекивање да БиХ укине постојеће као и да се суздржи од увођења додатних забране у трговини с ЕУ, те је позвала БиХ да појача напоре и финализира приступање у Свјетску трговинску организацију.</w:t>
      </w:r>
    </w:p>
    <w:p w14:paraId="75F243B4" w14:textId="77777777" w:rsidR="004C7C2A" w:rsidRPr="00FD6A09" w:rsidRDefault="004C7C2A" w:rsidP="007C6FDD">
      <w:pPr>
        <w:autoSpaceDE w:val="0"/>
        <w:autoSpaceDN w:val="0"/>
        <w:adjustRightInd w:val="0"/>
        <w:contextualSpacing/>
        <w:jc w:val="both"/>
        <w:rPr>
          <w:rFonts w:asciiTheme="minorHAnsi" w:hAnsiTheme="minorHAnsi" w:cstheme="minorHAnsi"/>
          <w:sz w:val="24"/>
          <w:szCs w:val="24"/>
          <w:lang w:val="sr-Latn-BA" w:eastAsia="en-GB"/>
        </w:rPr>
      </w:pPr>
    </w:p>
    <w:p w14:paraId="6065D4A3" w14:textId="18656E2E" w:rsidR="00A249BF" w:rsidRDefault="004C7C2A" w:rsidP="007C6FDD">
      <w:pPr>
        <w:autoSpaceDE w:val="0"/>
        <w:autoSpaceDN w:val="0"/>
        <w:adjustRightInd w:val="0"/>
        <w:contextualSpacing/>
        <w:jc w:val="both"/>
        <w:rPr>
          <w:rFonts w:asciiTheme="minorHAnsi" w:hAnsiTheme="minorHAnsi" w:cstheme="minorHAnsi"/>
          <w:sz w:val="24"/>
          <w:szCs w:val="24"/>
          <w:lang w:val="sr-Latn-BA" w:eastAsia="en-GB"/>
        </w:rPr>
      </w:pPr>
      <w:r w:rsidRPr="004C7C2A">
        <w:rPr>
          <w:rFonts w:asciiTheme="minorHAnsi" w:hAnsiTheme="minorHAnsi" w:cstheme="minorHAnsi"/>
          <w:sz w:val="24"/>
          <w:szCs w:val="24"/>
          <w:lang w:val="sr-Latn-BA" w:eastAsia="en-GB"/>
        </w:rPr>
        <w:t xml:space="preserve">Комисија је поздравила усвајање измјена и допуна Закона о јавним набавкама и позвала БиХ да настави са даљњим усклађивањем с </w:t>
      </w:r>
      <w:r w:rsidRPr="004C7C2A">
        <w:rPr>
          <w:rFonts w:asciiTheme="minorHAnsi" w:hAnsiTheme="minorHAnsi" w:cstheme="minorHAnsi"/>
          <w:i/>
          <w:sz w:val="24"/>
          <w:szCs w:val="24"/>
          <w:lang w:val="sr-Latn-BA" w:eastAsia="en-GB"/>
        </w:rPr>
        <w:t>acquis</w:t>
      </w:r>
      <w:r w:rsidRPr="004C7C2A">
        <w:rPr>
          <w:rFonts w:asciiTheme="minorHAnsi" w:hAnsiTheme="minorHAnsi" w:cstheme="minorHAnsi"/>
          <w:sz w:val="24"/>
          <w:szCs w:val="24"/>
          <w:lang w:val="sr-Latn-BA" w:eastAsia="en-GB"/>
        </w:rPr>
        <w:t>-ем. БиХ треба усвојити закон о државној помоћи и конкуренцији како би се уклониле одредбе о етнички утемељном одлучивању у Вијећу за државну помоћ и Конкуренцијском вијећу БиХ.</w:t>
      </w:r>
    </w:p>
    <w:p w14:paraId="0640A412" w14:textId="77777777" w:rsidR="004C7C2A" w:rsidRDefault="004C7C2A" w:rsidP="007C6FDD">
      <w:pPr>
        <w:autoSpaceDE w:val="0"/>
        <w:autoSpaceDN w:val="0"/>
        <w:adjustRightInd w:val="0"/>
        <w:contextualSpacing/>
        <w:jc w:val="both"/>
        <w:rPr>
          <w:rFonts w:asciiTheme="minorHAnsi" w:hAnsiTheme="minorHAnsi" w:cstheme="minorHAnsi"/>
          <w:sz w:val="24"/>
          <w:szCs w:val="24"/>
          <w:lang w:val="sr-Latn-BA" w:eastAsia="en-GB"/>
        </w:rPr>
      </w:pPr>
    </w:p>
    <w:p w14:paraId="36370832" w14:textId="67159203" w:rsidR="00A249BF" w:rsidRDefault="004C7C2A" w:rsidP="007C6FDD">
      <w:pPr>
        <w:autoSpaceDE w:val="0"/>
        <w:autoSpaceDN w:val="0"/>
        <w:adjustRightInd w:val="0"/>
        <w:contextualSpacing/>
        <w:jc w:val="both"/>
        <w:rPr>
          <w:rFonts w:asciiTheme="minorHAnsi" w:hAnsiTheme="minorHAnsi" w:cstheme="minorHAnsi"/>
          <w:sz w:val="24"/>
          <w:szCs w:val="24"/>
          <w:lang w:val="sr-Latn-BA" w:eastAsia="en-GB"/>
        </w:rPr>
      </w:pPr>
      <w:r w:rsidRPr="004C7C2A">
        <w:rPr>
          <w:rFonts w:asciiTheme="minorHAnsi" w:hAnsiTheme="minorHAnsi" w:cstheme="minorHAnsi"/>
          <w:sz w:val="24"/>
          <w:szCs w:val="24"/>
          <w:lang w:val="sr-Latn-BA" w:eastAsia="en-GB"/>
        </w:rPr>
        <w:t>Комисија је нагласила како је од посебног значаја за функционирање јединственог бх. унутрашњег тржишта усвајање јединственог хоризонталног закона о услугама у складу са основним принципима Директиве о услугама као и успостава заједничког регулаторног оквира за признавање стручних квалификација.</w:t>
      </w:r>
    </w:p>
    <w:p w14:paraId="418F683D" w14:textId="77777777" w:rsidR="004C7C2A" w:rsidRDefault="004C7C2A" w:rsidP="007C6FDD">
      <w:pPr>
        <w:autoSpaceDE w:val="0"/>
        <w:autoSpaceDN w:val="0"/>
        <w:adjustRightInd w:val="0"/>
        <w:contextualSpacing/>
        <w:jc w:val="both"/>
        <w:rPr>
          <w:rFonts w:asciiTheme="minorHAnsi" w:hAnsiTheme="minorHAnsi" w:cstheme="minorHAnsi"/>
          <w:sz w:val="24"/>
          <w:szCs w:val="24"/>
          <w:lang w:val="sr-Latn-BA" w:eastAsia="en-GB"/>
        </w:rPr>
      </w:pPr>
    </w:p>
    <w:p w14:paraId="010790F3" w14:textId="77777777" w:rsidR="004C7C2A" w:rsidRPr="004C7C2A" w:rsidRDefault="004C7C2A" w:rsidP="004C7C2A">
      <w:pPr>
        <w:autoSpaceDE w:val="0"/>
        <w:autoSpaceDN w:val="0"/>
        <w:adjustRightInd w:val="0"/>
        <w:contextualSpacing/>
        <w:jc w:val="both"/>
        <w:rPr>
          <w:rFonts w:asciiTheme="minorHAnsi" w:hAnsiTheme="minorHAnsi" w:cstheme="minorHAnsi"/>
          <w:sz w:val="24"/>
          <w:szCs w:val="24"/>
          <w:lang w:val="sr-Latn-BA" w:eastAsia="en-GB"/>
        </w:rPr>
      </w:pPr>
      <w:r w:rsidRPr="004C7C2A">
        <w:rPr>
          <w:rFonts w:asciiTheme="minorHAnsi" w:hAnsiTheme="minorHAnsi" w:cstheme="minorHAnsi"/>
          <w:sz w:val="24"/>
          <w:szCs w:val="24"/>
          <w:lang w:val="sr-Latn-BA" w:eastAsia="en-GB"/>
        </w:rPr>
        <w:t xml:space="preserve">Власти у БиХ су позване да усвоје цјелодржавну стратегију инфраструктуре квалитета,  цјелодржавну стратегију за запошљавање, стратегију паметне специјализације, цјелодржавну стратегију науке, стратегију кибернетичке сигурности, национални плана за климу и енергију, ажурирани стратегијски оквир за транспорт итд. </w:t>
      </w:r>
    </w:p>
    <w:p w14:paraId="1A506643" w14:textId="77777777" w:rsidR="004C7C2A" w:rsidRPr="004C7C2A" w:rsidRDefault="004C7C2A" w:rsidP="004C7C2A">
      <w:pPr>
        <w:autoSpaceDE w:val="0"/>
        <w:autoSpaceDN w:val="0"/>
        <w:adjustRightInd w:val="0"/>
        <w:contextualSpacing/>
        <w:jc w:val="both"/>
        <w:rPr>
          <w:rFonts w:asciiTheme="minorHAnsi" w:hAnsiTheme="minorHAnsi" w:cstheme="minorHAnsi"/>
          <w:sz w:val="24"/>
          <w:szCs w:val="24"/>
          <w:lang w:val="sr-Latn-BA" w:eastAsia="en-GB"/>
        </w:rPr>
      </w:pPr>
    </w:p>
    <w:p w14:paraId="3A471B9F" w14:textId="196FE3B9" w:rsidR="00D648A9" w:rsidRDefault="004C7C2A" w:rsidP="004C7C2A">
      <w:pPr>
        <w:autoSpaceDE w:val="0"/>
        <w:autoSpaceDN w:val="0"/>
        <w:adjustRightInd w:val="0"/>
        <w:contextualSpacing/>
        <w:jc w:val="both"/>
        <w:rPr>
          <w:rFonts w:asciiTheme="minorHAnsi" w:hAnsiTheme="minorHAnsi" w:cstheme="minorHAnsi"/>
          <w:sz w:val="24"/>
          <w:szCs w:val="24"/>
          <w:lang w:val="sr-Latn-BA" w:eastAsia="en-GB"/>
        </w:rPr>
      </w:pPr>
      <w:r w:rsidRPr="004C7C2A">
        <w:rPr>
          <w:rFonts w:asciiTheme="minorHAnsi" w:hAnsiTheme="minorHAnsi" w:cstheme="minorHAnsi"/>
          <w:sz w:val="24"/>
          <w:szCs w:val="24"/>
          <w:lang w:val="sr-Latn-BA" w:eastAsia="en-GB"/>
        </w:rPr>
        <w:t xml:space="preserve">Такођер, власти у БиХ су позване на увођење броја за хитне случајеве 122, затим на усвајање закона о наџору над тржиштем, закона о акредитацији, закон о кибернетичкој сигурности, закона о електронској идентификацији и услугама повјерења за електронске трансакције итд.   </w:t>
      </w:r>
    </w:p>
    <w:p w14:paraId="747FE4D7" w14:textId="77777777" w:rsidR="004C7C2A" w:rsidRPr="00FD6A09" w:rsidRDefault="004C7C2A" w:rsidP="004C7C2A">
      <w:pPr>
        <w:autoSpaceDE w:val="0"/>
        <w:autoSpaceDN w:val="0"/>
        <w:adjustRightInd w:val="0"/>
        <w:contextualSpacing/>
        <w:jc w:val="both"/>
        <w:rPr>
          <w:rFonts w:asciiTheme="minorHAnsi" w:hAnsiTheme="minorHAnsi" w:cstheme="minorHAnsi"/>
          <w:sz w:val="24"/>
          <w:szCs w:val="24"/>
          <w:lang w:val="sr-Latn-BA" w:eastAsia="en-GB"/>
        </w:rPr>
      </w:pPr>
    </w:p>
    <w:p w14:paraId="52A81B96" w14:textId="77777777" w:rsidR="00665FF5" w:rsidRPr="00FD6A09" w:rsidRDefault="00665FF5" w:rsidP="00665FF5">
      <w:pPr>
        <w:autoSpaceDE w:val="0"/>
        <w:autoSpaceDN w:val="0"/>
        <w:adjustRightInd w:val="0"/>
        <w:contextualSpacing/>
        <w:jc w:val="both"/>
        <w:rPr>
          <w:rFonts w:asciiTheme="minorHAnsi" w:hAnsiTheme="minorHAnsi" w:cstheme="minorHAnsi"/>
          <w:sz w:val="24"/>
          <w:szCs w:val="24"/>
          <w:lang w:val="sr-Latn-BA" w:eastAsia="en-GB"/>
        </w:rPr>
      </w:pPr>
      <w:r w:rsidRPr="00FD6A09">
        <w:rPr>
          <w:rFonts w:asciiTheme="minorHAnsi" w:hAnsiTheme="minorHAnsi" w:cstheme="minorHAnsi"/>
          <w:noProof/>
          <w:sz w:val="24"/>
          <w:szCs w:val="24"/>
          <w:lang w:val="hr-HR" w:eastAsia="hr-HR"/>
        </w:rPr>
        <mc:AlternateContent>
          <mc:Choice Requires="wps">
            <w:drawing>
              <wp:anchor distT="0" distB="0" distL="114300" distR="114300" simplePos="0" relativeHeight="251658240" behindDoc="0" locked="0" layoutInCell="1" allowOverlap="1" wp14:anchorId="248C6222" wp14:editId="76BF772A">
                <wp:simplePos x="0" y="0"/>
                <wp:positionH relativeFrom="margin">
                  <wp:align>left</wp:align>
                </wp:positionH>
                <wp:positionV relativeFrom="paragraph">
                  <wp:posOffset>12296</wp:posOffset>
                </wp:positionV>
                <wp:extent cx="5879869" cy="1247775"/>
                <wp:effectExtent l="0" t="0" r="6985" b="9525"/>
                <wp:wrapNone/>
                <wp:docPr id="4" name="Tekstni okvir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869" cy="1247775"/>
                        </a:xfrm>
                        <a:prstGeom prst="rect">
                          <a:avLst/>
                        </a:prstGeom>
                        <a:solidFill>
                          <a:srgbClr val="D8D8D8"/>
                        </a:solidFill>
                        <a:ln>
                          <a:noFill/>
                        </a:ln>
                        <a:extLst>
                          <a:ext uri="{91240B29-F687-4F45-9708-019B960494DF}">
                            <a14:hiddenLine xmlns:a14="http://schemas.microsoft.com/office/drawing/2010/main" w="9525">
                              <a:solidFill>
                                <a:srgbClr val="D8D8D8"/>
                              </a:solidFill>
                              <a:miter lim="800000"/>
                              <a:headEnd/>
                              <a:tailEnd/>
                            </a14:hiddenLine>
                          </a:ext>
                        </a:extLst>
                      </wps:spPr>
                      <wps:txbx>
                        <w:txbxContent>
                          <w:p w14:paraId="2547FFE2" w14:textId="117E3627" w:rsidR="006174DC" w:rsidRDefault="004C7C2A" w:rsidP="00665FF5">
                            <w:pPr>
                              <w:widowControl w:val="0"/>
                              <w:shd w:val="clear" w:color="auto" w:fill="F2F2F2"/>
                              <w:autoSpaceDE w:val="0"/>
                              <w:autoSpaceDN w:val="0"/>
                              <w:adjustRightInd w:val="0"/>
                              <w:jc w:val="both"/>
                              <w:rPr>
                                <w:rFonts w:asciiTheme="minorHAnsi" w:hAnsiTheme="minorHAnsi"/>
                                <w:sz w:val="24"/>
                                <w:szCs w:val="24"/>
                                <w:lang w:val="bs-Latn-BA" w:bidi="fr-FR"/>
                              </w:rPr>
                            </w:pPr>
                            <w:r w:rsidRPr="004C7C2A">
                              <w:rPr>
                                <w:rFonts w:asciiTheme="minorHAnsi" w:hAnsiTheme="minorHAnsi"/>
                                <w:sz w:val="24"/>
                                <w:szCs w:val="24"/>
                                <w:lang w:val="bs-Latn-BA" w:bidi="fr-FR"/>
                              </w:rPr>
                              <w:t>Шести састанак Одбора за стабилизацију и придруживање између ЕУ и БиХ је први састанак овог тијела након што је БиХ добила статус кандидата. Састанком је предсједала помоћница директора Дирекције за европске интеграције Дарија Рамљак, а у име ЕУ састанком је копредсједавао Вассилис Марагос из Европске комисије. О раду Одбора за стабилизацију и придруживање више информација је доступно на</w:t>
                            </w:r>
                            <w:r>
                              <w:rPr>
                                <w:rFonts w:asciiTheme="minorHAnsi" w:hAnsiTheme="minorHAnsi"/>
                                <w:sz w:val="24"/>
                                <w:szCs w:val="24"/>
                                <w:lang w:val="bs-Latn-BA" w:bidi="fr-FR"/>
                              </w:rPr>
                              <w:t>:</w:t>
                            </w:r>
                            <w:r w:rsidRPr="004C7C2A">
                              <w:rPr>
                                <w:rFonts w:asciiTheme="minorHAnsi" w:hAnsiTheme="minorHAnsi"/>
                                <w:sz w:val="24"/>
                                <w:szCs w:val="24"/>
                                <w:lang w:val="bs-Latn-BA" w:bidi="fr-FR"/>
                              </w:rPr>
                              <w:t xml:space="preserve"> </w:t>
                            </w:r>
                            <w:hyperlink r:id="rId11" w:history="1">
                              <w:r w:rsidR="00FD6A09" w:rsidRPr="00AA79AE">
                                <w:rPr>
                                  <w:rStyle w:val="Hyperlink"/>
                                  <w:rFonts w:asciiTheme="minorHAnsi" w:hAnsiTheme="minorHAnsi"/>
                                  <w:sz w:val="24"/>
                                  <w:szCs w:val="24"/>
                                  <w:lang w:val="bs-Latn-BA" w:bidi="fr-FR"/>
                                </w:rPr>
                                <w:t>https://www.dei.gov.ba/bs/stabilization-agreement</w:t>
                              </w:r>
                            </w:hyperlink>
                            <w:r w:rsidR="006174DC">
                              <w:rPr>
                                <w:rFonts w:asciiTheme="minorHAnsi" w:hAnsiTheme="minorHAnsi"/>
                                <w:sz w:val="24"/>
                                <w:szCs w:val="24"/>
                                <w:lang w:val="bs-Latn-BA" w:bidi="fr-FR"/>
                              </w:rPr>
                              <w:t xml:space="preserve">. </w:t>
                            </w:r>
                            <w:r w:rsidR="00331527">
                              <w:rPr>
                                <w:rFonts w:asciiTheme="minorHAnsi" w:hAnsiTheme="minorHAnsi"/>
                                <w:sz w:val="24"/>
                                <w:szCs w:val="24"/>
                                <w:lang w:val="bs-Latn-BA" w:bidi="fr-FR"/>
                              </w:rPr>
                              <w:t xml:space="preserve"> </w:t>
                            </w:r>
                          </w:p>
                          <w:p w14:paraId="7B0BA081" w14:textId="77777777" w:rsidR="00871015" w:rsidRDefault="00871015" w:rsidP="00665FF5">
                            <w:pPr>
                              <w:widowControl w:val="0"/>
                              <w:shd w:val="clear" w:color="auto" w:fill="F2F2F2"/>
                              <w:autoSpaceDE w:val="0"/>
                              <w:autoSpaceDN w:val="0"/>
                              <w:adjustRightInd w:val="0"/>
                              <w:jc w:val="both"/>
                              <w:rPr>
                                <w:rFonts w:asciiTheme="minorHAnsi" w:hAnsiTheme="minorHAnsi"/>
                                <w:sz w:val="24"/>
                                <w:szCs w:val="24"/>
                                <w:lang w:val="bs-Latn-BA" w:bidi="fr-FR"/>
                              </w:rPr>
                            </w:pPr>
                          </w:p>
                          <w:p w14:paraId="53200555" w14:textId="77777777" w:rsidR="00871015" w:rsidRDefault="00871015" w:rsidP="00665FF5">
                            <w:pPr>
                              <w:widowControl w:val="0"/>
                              <w:shd w:val="clear" w:color="auto" w:fill="F2F2F2"/>
                              <w:autoSpaceDE w:val="0"/>
                              <w:autoSpaceDN w:val="0"/>
                              <w:adjustRightInd w:val="0"/>
                              <w:jc w:val="both"/>
                              <w:rPr>
                                <w:rFonts w:asciiTheme="minorHAnsi" w:hAnsiTheme="minorHAnsi"/>
                                <w:sz w:val="24"/>
                                <w:szCs w:val="24"/>
                                <w:lang w:val="bs-Latn-BA" w:bidi="fr-FR"/>
                              </w:rPr>
                            </w:pPr>
                          </w:p>
                          <w:p w14:paraId="4B3E34D9" w14:textId="77777777" w:rsidR="00AB25B7" w:rsidRPr="007B2F70" w:rsidRDefault="00AB25B7">
                            <w:pPr>
                              <w:rPr>
                                <w:lang w:val="bs-Latn-B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4" o:spid="_x0000_s1026" type="#_x0000_t202" style="position:absolute;left:0;text-align:left;margin-left:0;margin-top:.95pt;width:463pt;height:98.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" fillcolor="#d8d8d8" stroked="f" strokecolor="#d8d8d8">
                <v:textbox>
                  <w:txbxContent>
                    <w:p w14:paraId="2547FFE2" w14:textId="117E3627" w:rsidR="006174DC" w:rsidRDefault="004C7C2A" w:rsidP="00665FF5">
                      <w:pPr>
                        <w:widowControl w:val="0"/>
                        <w:shd w:val="clear" w:color="auto" w:fill="F2F2F2"/>
                        <w:autoSpaceDE w:val="0"/>
                        <w:autoSpaceDN w:val="0"/>
                        <w:adjustRightInd w:val="0"/>
                        <w:jc w:val="both"/>
                        <w:rPr>
                          <w:rFonts w:asciiTheme="minorHAnsi" w:hAnsiTheme="minorHAnsi"/>
                          <w:sz w:val="24"/>
                          <w:szCs w:val="24"/>
                          <w:lang w:val="bs-Latn-BA" w:bidi="fr-FR"/>
                        </w:rPr>
                      </w:pPr>
                      <w:r w:rsidRPr="004C7C2A">
                        <w:rPr>
                          <w:rFonts w:asciiTheme="minorHAnsi" w:hAnsiTheme="minorHAnsi"/>
                          <w:sz w:val="24"/>
                          <w:szCs w:val="24"/>
                          <w:lang w:val="bs-Latn-BA" w:bidi="fr-FR"/>
                        </w:rPr>
                        <w:t>Шести састанак Одбора за стабилизацију и придруживање између ЕУ и БиХ је први састанак овог тијела након што је БиХ добила статус кандидата. Састанком је предсједала помоћница директора Дирекције за европске интеграције Дарија Рамљак, а у име ЕУ састанком је копредсједавао Вассилис Марагос из Европске комисије. О раду Одбора за стабилизацију и придруживање више информација је доступно на</w:t>
                      </w:r>
                      <w:r>
                        <w:rPr>
                          <w:rFonts w:asciiTheme="minorHAnsi" w:hAnsiTheme="minorHAnsi"/>
                          <w:sz w:val="24"/>
                          <w:szCs w:val="24"/>
                          <w:lang w:val="bs-Latn-BA" w:bidi="fr-FR"/>
                        </w:rPr>
                        <w:t>:</w:t>
                      </w:r>
                      <w:r w:rsidRPr="004C7C2A">
                        <w:rPr>
                          <w:rFonts w:asciiTheme="minorHAnsi" w:hAnsiTheme="minorHAnsi"/>
                          <w:sz w:val="24"/>
                          <w:szCs w:val="24"/>
                          <w:lang w:val="bs-Latn-BA" w:bidi="fr-FR"/>
                        </w:rPr>
                        <w:t xml:space="preserve"> </w:t>
                      </w:r>
                      <w:hyperlink r:id="rId12" w:history="1">
                        <w:r w:rsidR="00FD6A09" w:rsidRPr="00AA79AE">
                          <w:rPr>
                            <w:rStyle w:val="Hyperlink"/>
                            <w:rFonts w:asciiTheme="minorHAnsi" w:hAnsiTheme="minorHAnsi"/>
                            <w:sz w:val="24"/>
                            <w:szCs w:val="24"/>
                            <w:lang w:val="bs-Latn-BA" w:bidi="fr-FR"/>
                          </w:rPr>
                          <w:t>https://www.dei.gov.ba/bs/stabilization-agreement</w:t>
                        </w:r>
                      </w:hyperlink>
                      <w:r w:rsidR="006174DC">
                        <w:rPr>
                          <w:rFonts w:asciiTheme="minorHAnsi" w:hAnsiTheme="minorHAnsi"/>
                          <w:sz w:val="24"/>
                          <w:szCs w:val="24"/>
                          <w:lang w:val="bs-Latn-BA" w:bidi="fr-FR"/>
                        </w:rPr>
                        <w:t xml:space="preserve">. </w:t>
                      </w:r>
                      <w:r w:rsidR="00331527">
                        <w:rPr>
                          <w:rFonts w:asciiTheme="minorHAnsi" w:hAnsiTheme="minorHAnsi"/>
                          <w:sz w:val="24"/>
                          <w:szCs w:val="24"/>
                          <w:lang w:val="bs-Latn-BA" w:bidi="fr-FR"/>
                        </w:rPr>
                        <w:t xml:space="preserve"> </w:t>
                      </w:r>
                    </w:p>
                    <w:p w14:paraId="7B0BA081" w14:textId="77777777" w:rsidR="00871015" w:rsidRDefault="00871015" w:rsidP="00665FF5">
                      <w:pPr>
                        <w:widowControl w:val="0"/>
                        <w:shd w:val="clear" w:color="auto" w:fill="F2F2F2"/>
                        <w:autoSpaceDE w:val="0"/>
                        <w:autoSpaceDN w:val="0"/>
                        <w:adjustRightInd w:val="0"/>
                        <w:jc w:val="both"/>
                        <w:rPr>
                          <w:rFonts w:asciiTheme="minorHAnsi" w:hAnsiTheme="minorHAnsi"/>
                          <w:sz w:val="24"/>
                          <w:szCs w:val="24"/>
                          <w:lang w:val="bs-Latn-BA" w:bidi="fr-FR"/>
                        </w:rPr>
                      </w:pPr>
                    </w:p>
                    <w:p w14:paraId="53200555" w14:textId="77777777" w:rsidR="00871015" w:rsidRDefault="00871015" w:rsidP="00665FF5">
                      <w:pPr>
                        <w:widowControl w:val="0"/>
                        <w:shd w:val="clear" w:color="auto" w:fill="F2F2F2"/>
                        <w:autoSpaceDE w:val="0"/>
                        <w:autoSpaceDN w:val="0"/>
                        <w:adjustRightInd w:val="0"/>
                        <w:jc w:val="both"/>
                        <w:rPr>
                          <w:rFonts w:asciiTheme="minorHAnsi" w:hAnsiTheme="minorHAnsi"/>
                          <w:sz w:val="24"/>
                          <w:szCs w:val="24"/>
                          <w:lang w:val="bs-Latn-BA" w:bidi="fr-FR"/>
                        </w:rPr>
                      </w:pPr>
                    </w:p>
                    <w:p w14:paraId="4B3E34D9" w14:textId="77777777" w:rsidR="00AB25B7" w:rsidRPr="007B2F70" w:rsidRDefault="00AB25B7">
                      <w:pPr>
                        <w:rPr>
                          <w:lang w:val="bs-Latn-BA"/>
                        </w:rPr>
                      </w:pPr>
                    </w:p>
                  </w:txbxContent>
                </v:textbox>
                <w10:wrap anchorx="margin"/>
              </v:shape>
            </w:pict>
          </mc:Fallback>
        </mc:AlternateContent>
      </w:r>
    </w:p>
    <w:p w14:paraId="16371972" w14:textId="77777777" w:rsidR="00665FF5" w:rsidRPr="00FD6A09" w:rsidRDefault="00665FF5" w:rsidP="00665FF5">
      <w:pPr>
        <w:autoSpaceDE w:val="0"/>
        <w:autoSpaceDN w:val="0"/>
        <w:adjustRightInd w:val="0"/>
        <w:contextualSpacing/>
        <w:jc w:val="both"/>
        <w:rPr>
          <w:rFonts w:asciiTheme="minorHAnsi" w:hAnsiTheme="minorHAnsi" w:cstheme="minorHAnsi"/>
          <w:sz w:val="24"/>
          <w:szCs w:val="24"/>
          <w:lang w:val="sr-Latn-BA" w:eastAsia="en-GB"/>
        </w:rPr>
      </w:pPr>
    </w:p>
    <w:p w14:paraId="5AD7D69F" w14:textId="77777777" w:rsidR="00665FF5" w:rsidRPr="00FD6A09" w:rsidRDefault="00665FF5" w:rsidP="00665FF5">
      <w:pPr>
        <w:autoSpaceDE w:val="0"/>
        <w:autoSpaceDN w:val="0"/>
        <w:adjustRightInd w:val="0"/>
        <w:contextualSpacing/>
        <w:jc w:val="both"/>
        <w:rPr>
          <w:rFonts w:asciiTheme="minorHAnsi" w:hAnsiTheme="minorHAnsi" w:cstheme="minorHAnsi"/>
          <w:sz w:val="24"/>
          <w:szCs w:val="24"/>
          <w:lang w:val="sr-Latn-BA" w:eastAsia="en-GB"/>
        </w:rPr>
      </w:pPr>
    </w:p>
    <w:p w14:paraId="2551720C" w14:textId="77777777" w:rsidR="00665FF5" w:rsidRPr="00FD6A09" w:rsidRDefault="00665FF5" w:rsidP="00665FF5">
      <w:pPr>
        <w:autoSpaceDE w:val="0"/>
        <w:autoSpaceDN w:val="0"/>
        <w:adjustRightInd w:val="0"/>
        <w:contextualSpacing/>
        <w:jc w:val="both"/>
        <w:rPr>
          <w:rFonts w:asciiTheme="minorHAnsi" w:hAnsiTheme="minorHAnsi" w:cstheme="minorHAnsi"/>
          <w:sz w:val="24"/>
          <w:szCs w:val="24"/>
          <w:lang w:val="sr-Latn-BA" w:eastAsia="en-GB"/>
        </w:rPr>
      </w:pPr>
    </w:p>
    <w:p w14:paraId="4090F97F" w14:textId="77777777" w:rsidR="00665FF5" w:rsidRPr="00FD6A09" w:rsidRDefault="00665FF5" w:rsidP="00665FF5">
      <w:pPr>
        <w:autoSpaceDE w:val="0"/>
        <w:autoSpaceDN w:val="0"/>
        <w:adjustRightInd w:val="0"/>
        <w:contextualSpacing/>
        <w:jc w:val="both"/>
        <w:rPr>
          <w:rFonts w:asciiTheme="minorHAnsi" w:hAnsiTheme="minorHAnsi" w:cstheme="minorHAnsi"/>
          <w:sz w:val="24"/>
          <w:szCs w:val="24"/>
          <w:lang w:val="sr-Latn-BA" w:eastAsia="en-GB"/>
        </w:rPr>
      </w:pPr>
    </w:p>
    <w:p w14:paraId="43C82487" w14:textId="1678F55A" w:rsidR="00665FF5" w:rsidRPr="00FD6A09" w:rsidRDefault="00665FF5" w:rsidP="00665FF5">
      <w:pPr>
        <w:autoSpaceDE w:val="0"/>
        <w:autoSpaceDN w:val="0"/>
        <w:adjustRightInd w:val="0"/>
        <w:contextualSpacing/>
        <w:jc w:val="both"/>
        <w:rPr>
          <w:rFonts w:asciiTheme="minorHAnsi" w:hAnsiTheme="minorHAnsi" w:cstheme="minorHAnsi"/>
          <w:sz w:val="24"/>
          <w:szCs w:val="24"/>
          <w:lang w:val="sr-Latn-BA" w:eastAsia="en-GB"/>
        </w:rPr>
      </w:pPr>
    </w:p>
    <w:p w14:paraId="7568554F" w14:textId="77777777" w:rsidR="00A42F13" w:rsidRPr="00FD6A09" w:rsidRDefault="00A42F13" w:rsidP="00A42F13">
      <w:pPr>
        <w:spacing w:line="360" w:lineRule="auto"/>
        <w:rPr>
          <w:rFonts w:asciiTheme="minorHAnsi" w:eastAsia="Calibri" w:hAnsiTheme="minorHAnsi" w:cstheme="minorHAnsi"/>
          <w:spacing w:val="1"/>
          <w:sz w:val="24"/>
          <w:szCs w:val="24"/>
          <w:lang w:val="sr-Latn-BA"/>
        </w:rPr>
      </w:pPr>
    </w:p>
    <w:p w14:paraId="782430AF" w14:textId="42228AD9" w:rsidR="00665FF5" w:rsidRPr="00FD6A09" w:rsidRDefault="004C7C2A" w:rsidP="004C7C2A">
      <w:pPr>
        <w:jc w:val="right"/>
        <w:rPr>
          <w:rFonts w:asciiTheme="minorHAnsi" w:hAnsiTheme="minorHAnsi" w:cstheme="minorHAnsi"/>
          <w:sz w:val="24"/>
          <w:szCs w:val="24"/>
          <w:lang w:val="sr-Latn-BA"/>
        </w:rPr>
      </w:pPr>
      <w:r w:rsidRPr="004C7C2A">
        <w:rPr>
          <w:rFonts w:asciiTheme="minorHAnsi" w:eastAsia="Calibri" w:hAnsiTheme="minorHAnsi" w:cstheme="minorHAnsi"/>
          <w:spacing w:val="1"/>
          <w:sz w:val="24"/>
          <w:szCs w:val="24"/>
          <w:lang w:val="sr-Latn-BA"/>
        </w:rPr>
        <w:t>Дирекција за европске интеграције</w:t>
      </w:r>
    </w:p>
    <w:sectPr w:rsidR="00665FF5" w:rsidRPr="00FD6A09" w:rsidSect="00EC145B">
      <w:footerReference w:type="default" r:id="rId13"/>
      <w:type w:val="continuous"/>
      <w:pgSz w:w="11920" w:h="16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90386" w14:textId="77777777" w:rsidR="00510BF0" w:rsidRDefault="00510BF0" w:rsidP="009400DB">
      <w:r>
        <w:separator/>
      </w:r>
    </w:p>
  </w:endnote>
  <w:endnote w:type="continuationSeparator" w:id="0">
    <w:p w14:paraId="4478B313" w14:textId="77777777" w:rsidR="00510BF0" w:rsidRDefault="00510BF0" w:rsidP="0094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5EB91" w14:textId="77777777" w:rsidR="00665FF5" w:rsidRDefault="00665FF5" w:rsidP="00665FF5">
    <w:pPr>
      <w:spacing w:line="200" w:lineRule="exact"/>
      <w:jc w:val="center"/>
    </w:pPr>
  </w:p>
  <w:p w14:paraId="42BB07D2" w14:textId="77777777" w:rsidR="00665FF5" w:rsidRDefault="00665FF5" w:rsidP="00665FF5">
    <w:pPr>
      <w:spacing w:before="36"/>
      <w:ind w:left="580" w:right="458"/>
      <w:jc w:val="center"/>
      <w:rPr>
        <w:sz w:val="18"/>
        <w:szCs w:val="18"/>
      </w:rPr>
    </w:pPr>
    <w:proofErr w:type="spellStart"/>
    <w:r>
      <w:rPr>
        <w:spacing w:val="-2"/>
        <w:sz w:val="18"/>
        <w:szCs w:val="18"/>
      </w:rPr>
      <w:t>Đoke</w:t>
    </w:r>
    <w:proofErr w:type="spellEnd"/>
    <w:r>
      <w:rPr>
        <w:spacing w:val="-2"/>
        <w:sz w:val="18"/>
        <w:szCs w:val="18"/>
      </w:rPr>
      <w:t xml:space="preserve"> </w:t>
    </w:r>
    <w:proofErr w:type="spellStart"/>
    <w:r>
      <w:rPr>
        <w:spacing w:val="-2"/>
        <w:sz w:val="18"/>
        <w:szCs w:val="18"/>
      </w:rPr>
      <w:t>Mazalića</w:t>
    </w:r>
    <w:proofErr w:type="spellEnd"/>
    <w:r>
      <w:rPr>
        <w:spacing w:val="-2"/>
        <w:sz w:val="18"/>
        <w:szCs w:val="18"/>
      </w:rPr>
      <w:t xml:space="preserve"> 5</w:t>
    </w:r>
    <w:r>
      <w:rPr>
        <w:sz w:val="18"/>
        <w:szCs w:val="18"/>
      </w:rPr>
      <w:t>,</w:t>
    </w:r>
    <w:r>
      <w:rPr>
        <w:spacing w:val="1"/>
        <w:sz w:val="18"/>
        <w:szCs w:val="18"/>
      </w:rPr>
      <w:t xml:space="preserve"> 7</w:t>
    </w:r>
    <w:r>
      <w:rPr>
        <w:spacing w:val="-1"/>
        <w:sz w:val="18"/>
        <w:szCs w:val="18"/>
      </w:rPr>
      <w:t>1</w:t>
    </w:r>
    <w:r>
      <w:rPr>
        <w:spacing w:val="1"/>
        <w:sz w:val="18"/>
        <w:szCs w:val="18"/>
      </w:rPr>
      <w:t>0</w:t>
    </w:r>
    <w:r>
      <w:rPr>
        <w:spacing w:val="-1"/>
        <w:sz w:val="18"/>
        <w:szCs w:val="18"/>
      </w:rPr>
      <w:t>0</w:t>
    </w:r>
    <w:r>
      <w:rPr>
        <w:sz w:val="18"/>
        <w:szCs w:val="18"/>
      </w:rPr>
      <w:t>0</w:t>
    </w:r>
    <w:r>
      <w:rPr>
        <w:spacing w:val="-1"/>
        <w:sz w:val="18"/>
        <w:szCs w:val="18"/>
      </w:rPr>
      <w:t xml:space="preserve"> </w:t>
    </w:r>
    <w:r>
      <w:rPr>
        <w:spacing w:val="1"/>
        <w:sz w:val="18"/>
        <w:szCs w:val="18"/>
      </w:rPr>
      <w:t>S</w:t>
    </w:r>
    <w:r>
      <w:rPr>
        <w:spacing w:val="-1"/>
        <w:sz w:val="18"/>
        <w:szCs w:val="18"/>
      </w:rPr>
      <w:t>a</w:t>
    </w:r>
    <w:r>
      <w:rPr>
        <w:sz w:val="18"/>
        <w:szCs w:val="18"/>
      </w:rPr>
      <w:t>r</w:t>
    </w:r>
    <w:r>
      <w:rPr>
        <w:spacing w:val="-1"/>
        <w:sz w:val="18"/>
        <w:szCs w:val="18"/>
      </w:rPr>
      <w:t>a</w:t>
    </w:r>
    <w:r>
      <w:rPr>
        <w:sz w:val="18"/>
        <w:szCs w:val="18"/>
      </w:rPr>
      <w:t>je</w:t>
    </w:r>
    <w:r>
      <w:rPr>
        <w:spacing w:val="-2"/>
        <w:sz w:val="18"/>
        <w:szCs w:val="18"/>
      </w:rPr>
      <w:t>v</w:t>
    </w:r>
    <w:r>
      <w:rPr>
        <w:spacing w:val="1"/>
        <w:sz w:val="18"/>
        <w:szCs w:val="18"/>
      </w:rPr>
      <w:t>o</w:t>
    </w:r>
    <w:r>
      <w:rPr>
        <w:sz w:val="18"/>
        <w:szCs w:val="18"/>
      </w:rPr>
      <w:t>,</w:t>
    </w:r>
    <w:r>
      <w:rPr>
        <w:spacing w:val="1"/>
        <w:sz w:val="18"/>
        <w:szCs w:val="18"/>
      </w:rPr>
      <w:t xml:space="preserve"> </w:t>
    </w:r>
    <w:proofErr w:type="spellStart"/>
    <w:r>
      <w:rPr>
        <w:sz w:val="18"/>
        <w:szCs w:val="18"/>
      </w:rPr>
      <w:t>tel</w:t>
    </w:r>
    <w:proofErr w:type="spellEnd"/>
    <w:r>
      <w:rPr>
        <w:sz w:val="18"/>
        <w:szCs w:val="18"/>
      </w:rPr>
      <w:t>:</w:t>
    </w:r>
    <w:r>
      <w:rPr>
        <w:spacing w:val="1"/>
        <w:sz w:val="18"/>
        <w:szCs w:val="18"/>
      </w:rPr>
      <w:t xml:space="preserve"> </w:t>
    </w:r>
    <w:r>
      <w:rPr>
        <w:spacing w:val="-1"/>
        <w:sz w:val="18"/>
        <w:szCs w:val="18"/>
      </w:rPr>
      <w:t>+</w:t>
    </w:r>
    <w:r>
      <w:rPr>
        <w:spacing w:val="1"/>
        <w:sz w:val="18"/>
        <w:szCs w:val="18"/>
      </w:rPr>
      <w:t>38</w:t>
    </w:r>
    <w:r>
      <w:rPr>
        <w:sz w:val="18"/>
        <w:szCs w:val="18"/>
      </w:rPr>
      <w:t>7</w:t>
    </w:r>
    <w:r>
      <w:rPr>
        <w:spacing w:val="-1"/>
        <w:sz w:val="18"/>
        <w:szCs w:val="18"/>
      </w:rPr>
      <w:t xml:space="preserve"> </w:t>
    </w:r>
    <w:r>
      <w:rPr>
        <w:spacing w:val="1"/>
        <w:sz w:val="18"/>
        <w:szCs w:val="18"/>
      </w:rPr>
      <w:t>3</w:t>
    </w:r>
    <w:r>
      <w:rPr>
        <w:sz w:val="18"/>
        <w:szCs w:val="18"/>
      </w:rPr>
      <w:t>3 255 315,</w:t>
    </w:r>
    <w:r>
      <w:rPr>
        <w:spacing w:val="-1"/>
        <w:sz w:val="18"/>
        <w:szCs w:val="18"/>
      </w:rPr>
      <w:t xml:space="preserve"> </w:t>
    </w:r>
    <w:r>
      <w:rPr>
        <w:spacing w:val="-2"/>
        <w:sz w:val="18"/>
        <w:szCs w:val="18"/>
      </w:rPr>
      <w:t>f</w:t>
    </w:r>
    <w:r>
      <w:rPr>
        <w:spacing w:val="-1"/>
        <w:sz w:val="18"/>
        <w:szCs w:val="18"/>
      </w:rPr>
      <w:t>ax</w:t>
    </w:r>
    <w:r>
      <w:rPr>
        <w:sz w:val="18"/>
        <w:szCs w:val="18"/>
      </w:rPr>
      <w:t>:</w:t>
    </w:r>
    <w:r>
      <w:rPr>
        <w:spacing w:val="1"/>
        <w:sz w:val="18"/>
        <w:szCs w:val="18"/>
      </w:rPr>
      <w:t xml:space="preserve"> </w:t>
    </w:r>
    <w:r>
      <w:rPr>
        <w:spacing w:val="-1"/>
        <w:sz w:val="18"/>
        <w:szCs w:val="18"/>
      </w:rPr>
      <w:t>+</w:t>
    </w:r>
    <w:r>
      <w:rPr>
        <w:spacing w:val="1"/>
        <w:sz w:val="18"/>
        <w:szCs w:val="18"/>
      </w:rPr>
      <w:t>38</w:t>
    </w:r>
    <w:r>
      <w:rPr>
        <w:sz w:val="18"/>
        <w:szCs w:val="18"/>
      </w:rPr>
      <w:t>7</w:t>
    </w:r>
    <w:r>
      <w:rPr>
        <w:spacing w:val="1"/>
        <w:sz w:val="18"/>
        <w:szCs w:val="18"/>
      </w:rPr>
      <w:t xml:space="preserve"> </w:t>
    </w:r>
    <w:r>
      <w:rPr>
        <w:spacing w:val="-1"/>
        <w:sz w:val="18"/>
        <w:szCs w:val="18"/>
      </w:rPr>
      <w:t>3</w:t>
    </w:r>
    <w:r>
      <w:rPr>
        <w:sz w:val="18"/>
        <w:szCs w:val="18"/>
      </w:rPr>
      <w:t>3</w:t>
    </w:r>
    <w:r>
      <w:rPr>
        <w:spacing w:val="1"/>
        <w:sz w:val="18"/>
        <w:szCs w:val="18"/>
      </w:rPr>
      <w:t xml:space="preserve"> 255 </w:t>
    </w:r>
    <w:r>
      <w:rPr>
        <w:spacing w:val="-1"/>
        <w:sz w:val="18"/>
        <w:szCs w:val="18"/>
      </w:rPr>
      <w:t>317</w:t>
    </w:r>
    <w:r>
      <w:rPr>
        <w:sz w:val="18"/>
        <w:szCs w:val="18"/>
      </w:rPr>
      <w:t>;</w:t>
    </w:r>
    <w:r>
      <w:rPr>
        <w:spacing w:val="-2"/>
        <w:sz w:val="18"/>
        <w:szCs w:val="18"/>
      </w:rPr>
      <w:t xml:space="preserve"> </w:t>
    </w:r>
    <w:hyperlink r:id="rId1">
      <w:r>
        <w:rPr>
          <w:spacing w:val="1"/>
          <w:sz w:val="18"/>
          <w:szCs w:val="18"/>
        </w:rPr>
        <w:t>h</w:t>
      </w:r>
      <w:r>
        <w:rPr>
          <w:spacing w:val="-2"/>
          <w:sz w:val="18"/>
          <w:szCs w:val="18"/>
        </w:rPr>
        <w:t>t</w:t>
      </w:r>
      <w:r>
        <w:rPr>
          <w:sz w:val="18"/>
          <w:szCs w:val="18"/>
        </w:rPr>
        <w:t>t</w:t>
      </w:r>
      <w:r>
        <w:rPr>
          <w:spacing w:val="-1"/>
          <w:sz w:val="18"/>
          <w:szCs w:val="18"/>
        </w:rPr>
        <w:t>p</w:t>
      </w:r>
      <w:r>
        <w:rPr>
          <w:sz w:val="18"/>
          <w:szCs w:val="18"/>
        </w:rPr>
        <w:t>:</w:t>
      </w:r>
      <w:r>
        <w:rPr>
          <w:spacing w:val="1"/>
          <w:sz w:val="18"/>
          <w:szCs w:val="18"/>
        </w:rPr>
        <w:t>/</w:t>
      </w:r>
      <w:r>
        <w:rPr>
          <w:sz w:val="18"/>
          <w:szCs w:val="18"/>
        </w:rPr>
        <w:t>/ww</w:t>
      </w:r>
      <w:r>
        <w:rPr>
          <w:spacing w:val="-3"/>
          <w:sz w:val="18"/>
          <w:szCs w:val="18"/>
        </w:rPr>
        <w:t>w</w:t>
      </w:r>
      <w:r>
        <w:rPr>
          <w:sz w:val="18"/>
          <w:szCs w:val="18"/>
        </w:rPr>
        <w:t>.</w:t>
      </w:r>
      <w:r>
        <w:rPr>
          <w:spacing w:val="1"/>
          <w:sz w:val="18"/>
          <w:szCs w:val="18"/>
        </w:rPr>
        <w:t>d</w:t>
      </w:r>
      <w:r>
        <w:rPr>
          <w:spacing w:val="-1"/>
          <w:sz w:val="18"/>
          <w:szCs w:val="18"/>
        </w:rPr>
        <w:t>e</w:t>
      </w:r>
      <w:r>
        <w:rPr>
          <w:sz w:val="18"/>
          <w:szCs w:val="18"/>
        </w:rPr>
        <w:t>i</w:t>
      </w:r>
      <w:r>
        <w:rPr>
          <w:spacing w:val="1"/>
          <w:sz w:val="18"/>
          <w:szCs w:val="18"/>
        </w:rPr>
        <w:t>.</w:t>
      </w:r>
      <w:r>
        <w:rPr>
          <w:spacing w:val="-1"/>
          <w:sz w:val="18"/>
          <w:szCs w:val="18"/>
        </w:rPr>
        <w:t>g</w:t>
      </w:r>
      <w:r>
        <w:rPr>
          <w:spacing w:val="1"/>
          <w:sz w:val="18"/>
          <w:szCs w:val="18"/>
        </w:rPr>
        <w:t>o</w:t>
      </w:r>
      <w:r>
        <w:rPr>
          <w:spacing w:val="-1"/>
          <w:sz w:val="18"/>
          <w:szCs w:val="18"/>
        </w:rPr>
        <w:t>v</w:t>
      </w:r>
      <w:r>
        <w:rPr>
          <w:sz w:val="18"/>
          <w:szCs w:val="18"/>
        </w:rPr>
        <w:t>.</w:t>
      </w:r>
      <w:r>
        <w:rPr>
          <w:spacing w:val="1"/>
          <w:sz w:val="18"/>
          <w:szCs w:val="18"/>
        </w:rPr>
        <w:t>b</w:t>
      </w:r>
      <w:r>
        <w:rPr>
          <w:sz w:val="18"/>
          <w:szCs w:val="18"/>
        </w:rPr>
        <w:t>a</w:t>
      </w:r>
    </w:hyperlink>
  </w:p>
  <w:p w14:paraId="1C27DDBB" w14:textId="77777777" w:rsidR="00665FF5" w:rsidRPr="00665FF5" w:rsidRDefault="00665FF5" w:rsidP="00665FF5">
    <w:pPr>
      <w:jc w:val="center"/>
      <w:rPr>
        <w:sz w:val="24"/>
        <w:szCs w:val="24"/>
        <w:lang w:val="sr-Latn-BA"/>
      </w:rPr>
    </w:pPr>
    <w:r>
      <w:rPr>
        <w:spacing w:val="-2"/>
        <w:sz w:val="18"/>
        <w:szCs w:val="18"/>
        <w:lang w:val="sr-Cyrl-BA"/>
      </w:rPr>
      <w:t>Ђоке Мазалића 5</w:t>
    </w:r>
    <w:r w:rsidRPr="00EC145B">
      <w:rPr>
        <w:sz w:val="18"/>
        <w:szCs w:val="18"/>
        <w:lang w:val="ru-RU"/>
      </w:rPr>
      <w:t>,</w:t>
    </w:r>
    <w:r w:rsidRPr="00EC145B">
      <w:rPr>
        <w:spacing w:val="1"/>
        <w:sz w:val="18"/>
        <w:szCs w:val="18"/>
        <w:lang w:val="ru-RU"/>
      </w:rPr>
      <w:t xml:space="preserve"> </w:t>
    </w:r>
    <w:r w:rsidRPr="00EC145B">
      <w:rPr>
        <w:spacing w:val="-1"/>
        <w:sz w:val="18"/>
        <w:szCs w:val="18"/>
        <w:lang w:val="ru-RU"/>
      </w:rPr>
      <w:t>7</w:t>
    </w:r>
    <w:r w:rsidRPr="00EC145B">
      <w:rPr>
        <w:spacing w:val="1"/>
        <w:sz w:val="18"/>
        <w:szCs w:val="18"/>
        <w:lang w:val="ru-RU"/>
      </w:rPr>
      <w:t>1</w:t>
    </w:r>
    <w:r w:rsidRPr="00EC145B">
      <w:rPr>
        <w:spacing w:val="-1"/>
        <w:sz w:val="18"/>
        <w:szCs w:val="18"/>
        <w:lang w:val="ru-RU"/>
      </w:rPr>
      <w:t>0</w:t>
    </w:r>
    <w:r w:rsidRPr="00EC145B">
      <w:rPr>
        <w:spacing w:val="1"/>
        <w:sz w:val="18"/>
        <w:szCs w:val="18"/>
        <w:lang w:val="ru-RU"/>
      </w:rPr>
      <w:t>0</w:t>
    </w:r>
    <w:r w:rsidRPr="00EC145B">
      <w:rPr>
        <w:sz w:val="18"/>
        <w:szCs w:val="18"/>
        <w:lang w:val="ru-RU"/>
      </w:rPr>
      <w:t>0</w:t>
    </w:r>
    <w:r w:rsidRPr="00EC145B">
      <w:rPr>
        <w:spacing w:val="1"/>
        <w:sz w:val="18"/>
        <w:szCs w:val="18"/>
        <w:lang w:val="ru-RU"/>
      </w:rPr>
      <w:t xml:space="preserve"> </w:t>
    </w:r>
    <w:r w:rsidRPr="00EC145B">
      <w:rPr>
        <w:sz w:val="18"/>
        <w:szCs w:val="18"/>
        <w:lang w:val="ru-RU"/>
      </w:rPr>
      <w:t>С</w:t>
    </w:r>
    <w:r w:rsidRPr="00EC145B">
      <w:rPr>
        <w:spacing w:val="-1"/>
        <w:sz w:val="18"/>
        <w:szCs w:val="18"/>
        <w:lang w:val="ru-RU"/>
      </w:rPr>
      <w:t>а</w:t>
    </w:r>
    <w:r w:rsidRPr="00EC145B">
      <w:rPr>
        <w:spacing w:val="1"/>
        <w:sz w:val="18"/>
        <w:szCs w:val="18"/>
        <w:lang w:val="ru-RU"/>
      </w:rPr>
      <w:t>р</w:t>
    </w:r>
    <w:r w:rsidRPr="00EC145B">
      <w:rPr>
        <w:spacing w:val="-1"/>
        <w:sz w:val="18"/>
        <w:szCs w:val="18"/>
        <w:lang w:val="ru-RU"/>
      </w:rPr>
      <w:t>а</w:t>
    </w:r>
    <w:r w:rsidRPr="00EC145B">
      <w:rPr>
        <w:sz w:val="18"/>
        <w:szCs w:val="18"/>
        <w:lang w:val="ru-RU"/>
      </w:rPr>
      <w:t>је</w:t>
    </w:r>
    <w:r w:rsidRPr="00EC145B">
      <w:rPr>
        <w:spacing w:val="-1"/>
        <w:sz w:val="18"/>
        <w:szCs w:val="18"/>
        <w:lang w:val="ru-RU"/>
      </w:rPr>
      <w:t>в</w:t>
    </w:r>
    <w:r w:rsidRPr="00EC145B">
      <w:rPr>
        <w:spacing w:val="1"/>
        <w:sz w:val="18"/>
        <w:szCs w:val="18"/>
        <w:lang w:val="ru-RU"/>
      </w:rPr>
      <w:t>о</w:t>
    </w:r>
    <w:r w:rsidRPr="00EC145B">
      <w:rPr>
        <w:sz w:val="18"/>
        <w:szCs w:val="18"/>
        <w:lang w:val="ru-RU"/>
      </w:rPr>
      <w:t>,</w:t>
    </w:r>
    <w:r w:rsidRPr="00EC145B">
      <w:rPr>
        <w:spacing w:val="-1"/>
        <w:sz w:val="18"/>
        <w:szCs w:val="18"/>
        <w:lang w:val="ru-RU"/>
      </w:rPr>
      <w:t xml:space="preserve"> </w:t>
    </w:r>
    <w:r w:rsidRPr="00EC145B">
      <w:rPr>
        <w:sz w:val="18"/>
        <w:szCs w:val="18"/>
        <w:lang w:val="ru-RU"/>
      </w:rPr>
      <w:t>те</w:t>
    </w:r>
    <w:r w:rsidRPr="00EC145B">
      <w:rPr>
        <w:spacing w:val="-1"/>
        <w:sz w:val="18"/>
        <w:szCs w:val="18"/>
        <w:lang w:val="ru-RU"/>
      </w:rPr>
      <w:t>л</w:t>
    </w:r>
    <w:r w:rsidRPr="00EC145B">
      <w:rPr>
        <w:sz w:val="18"/>
        <w:szCs w:val="18"/>
        <w:lang w:val="ru-RU"/>
      </w:rPr>
      <w:t>:</w:t>
    </w:r>
    <w:r w:rsidRPr="00EC145B">
      <w:rPr>
        <w:spacing w:val="1"/>
        <w:sz w:val="18"/>
        <w:szCs w:val="18"/>
        <w:lang w:val="ru-RU"/>
      </w:rPr>
      <w:t xml:space="preserve"> </w:t>
    </w:r>
    <w:r w:rsidRPr="00EC145B">
      <w:rPr>
        <w:spacing w:val="-1"/>
        <w:sz w:val="18"/>
        <w:szCs w:val="18"/>
        <w:lang w:val="ru-RU"/>
      </w:rPr>
      <w:t>+</w:t>
    </w:r>
    <w:r w:rsidRPr="00EC145B">
      <w:rPr>
        <w:spacing w:val="1"/>
        <w:sz w:val="18"/>
        <w:szCs w:val="18"/>
        <w:lang w:val="ru-RU"/>
      </w:rPr>
      <w:t>3</w:t>
    </w:r>
    <w:r w:rsidRPr="00EC145B">
      <w:rPr>
        <w:spacing w:val="-1"/>
        <w:sz w:val="18"/>
        <w:szCs w:val="18"/>
        <w:lang w:val="ru-RU"/>
      </w:rPr>
      <w:t>8</w:t>
    </w:r>
    <w:r w:rsidRPr="00EC145B">
      <w:rPr>
        <w:sz w:val="18"/>
        <w:szCs w:val="18"/>
        <w:lang w:val="ru-RU"/>
      </w:rPr>
      <w:t>7</w:t>
    </w:r>
    <w:r w:rsidRPr="00EC145B">
      <w:rPr>
        <w:spacing w:val="1"/>
        <w:sz w:val="18"/>
        <w:szCs w:val="18"/>
        <w:lang w:val="ru-RU"/>
      </w:rPr>
      <w:t xml:space="preserve"> </w:t>
    </w:r>
    <w:r w:rsidRPr="00EC145B">
      <w:rPr>
        <w:spacing w:val="-1"/>
        <w:sz w:val="18"/>
        <w:szCs w:val="18"/>
        <w:lang w:val="ru-RU"/>
      </w:rPr>
      <w:t>3</w:t>
    </w:r>
    <w:r w:rsidRPr="00EC145B">
      <w:rPr>
        <w:sz w:val="18"/>
        <w:szCs w:val="18"/>
        <w:lang w:val="ru-RU"/>
      </w:rPr>
      <w:t>3</w:t>
    </w:r>
    <w:r w:rsidRPr="00EC145B">
      <w:rPr>
        <w:spacing w:val="5"/>
        <w:sz w:val="18"/>
        <w:szCs w:val="18"/>
        <w:lang w:val="ru-RU"/>
      </w:rPr>
      <w:t xml:space="preserve"> </w:t>
    </w:r>
    <w:r>
      <w:rPr>
        <w:spacing w:val="5"/>
        <w:sz w:val="18"/>
        <w:szCs w:val="18"/>
        <w:lang w:val="sr-Cyrl-BA"/>
      </w:rPr>
      <w:t>255 315</w:t>
    </w:r>
    <w:r w:rsidRPr="00EC145B">
      <w:rPr>
        <w:sz w:val="18"/>
        <w:szCs w:val="18"/>
        <w:lang w:val="ru-RU"/>
      </w:rPr>
      <w:t>,</w:t>
    </w:r>
    <w:r w:rsidRPr="00EC145B">
      <w:rPr>
        <w:spacing w:val="-1"/>
        <w:sz w:val="18"/>
        <w:szCs w:val="18"/>
        <w:lang w:val="ru-RU"/>
      </w:rPr>
      <w:t xml:space="preserve"> </w:t>
    </w:r>
    <w:r w:rsidRPr="00EC145B">
      <w:rPr>
        <w:spacing w:val="1"/>
        <w:sz w:val="18"/>
        <w:szCs w:val="18"/>
        <w:lang w:val="ru-RU"/>
      </w:rPr>
      <w:t>ф</w:t>
    </w:r>
    <w:r w:rsidRPr="00EC145B">
      <w:rPr>
        <w:spacing w:val="-1"/>
        <w:sz w:val="18"/>
        <w:szCs w:val="18"/>
        <w:lang w:val="ru-RU"/>
      </w:rPr>
      <w:t>а</w:t>
    </w:r>
    <w:r>
      <w:rPr>
        <w:spacing w:val="-1"/>
        <w:sz w:val="18"/>
        <w:szCs w:val="18"/>
        <w:lang w:val="sr-Cyrl-BA"/>
      </w:rPr>
      <w:t>кс</w:t>
    </w:r>
    <w:r w:rsidRPr="00EC145B">
      <w:rPr>
        <w:sz w:val="18"/>
        <w:szCs w:val="18"/>
        <w:lang w:val="ru-RU"/>
      </w:rPr>
      <w:t>:</w:t>
    </w:r>
    <w:r w:rsidRPr="00EC145B">
      <w:rPr>
        <w:spacing w:val="1"/>
        <w:sz w:val="18"/>
        <w:szCs w:val="18"/>
        <w:lang w:val="ru-RU"/>
      </w:rPr>
      <w:t xml:space="preserve"> </w:t>
    </w:r>
    <w:r w:rsidRPr="00EC145B">
      <w:rPr>
        <w:spacing w:val="-1"/>
        <w:sz w:val="18"/>
        <w:szCs w:val="18"/>
        <w:lang w:val="ru-RU"/>
      </w:rPr>
      <w:t>+</w:t>
    </w:r>
    <w:r w:rsidRPr="00EC145B">
      <w:rPr>
        <w:spacing w:val="1"/>
        <w:sz w:val="18"/>
        <w:szCs w:val="18"/>
        <w:lang w:val="ru-RU"/>
      </w:rPr>
      <w:t>3</w:t>
    </w:r>
    <w:r w:rsidRPr="00EC145B">
      <w:rPr>
        <w:spacing w:val="-1"/>
        <w:sz w:val="18"/>
        <w:szCs w:val="18"/>
        <w:lang w:val="ru-RU"/>
      </w:rPr>
      <w:t>8</w:t>
    </w:r>
    <w:r w:rsidRPr="00EC145B">
      <w:rPr>
        <w:sz w:val="18"/>
        <w:szCs w:val="18"/>
        <w:lang w:val="ru-RU"/>
      </w:rPr>
      <w:t>7</w:t>
    </w:r>
    <w:r w:rsidRPr="00EC145B">
      <w:rPr>
        <w:spacing w:val="1"/>
        <w:sz w:val="18"/>
        <w:szCs w:val="18"/>
        <w:lang w:val="ru-RU"/>
      </w:rPr>
      <w:t xml:space="preserve"> </w:t>
    </w:r>
    <w:r w:rsidRPr="00EC145B">
      <w:rPr>
        <w:spacing w:val="-1"/>
        <w:sz w:val="18"/>
        <w:szCs w:val="18"/>
        <w:lang w:val="ru-RU"/>
      </w:rPr>
      <w:t>3</w:t>
    </w:r>
    <w:r w:rsidRPr="00EC145B">
      <w:rPr>
        <w:sz w:val="18"/>
        <w:szCs w:val="18"/>
        <w:lang w:val="ru-RU"/>
      </w:rPr>
      <w:t>3</w:t>
    </w:r>
    <w:r w:rsidRPr="00EC145B">
      <w:rPr>
        <w:spacing w:val="1"/>
        <w:sz w:val="18"/>
        <w:szCs w:val="18"/>
        <w:lang w:val="ru-RU"/>
      </w:rPr>
      <w:t xml:space="preserve"> 2</w:t>
    </w:r>
    <w:r>
      <w:rPr>
        <w:spacing w:val="1"/>
        <w:sz w:val="18"/>
        <w:szCs w:val="18"/>
        <w:lang w:val="sr-Cyrl-BA"/>
      </w:rPr>
      <w:t>55 317</w:t>
    </w:r>
    <w:r w:rsidRPr="00EC145B">
      <w:rPr>
        <w:sz w:val="18"/>
        <w:szCs w:val="18"/>
        <w:lang w:val="ru-RU"/>
      </w:rPr>
      <w:t>;</w:t>
    </w:r>
    <w:r w:rsidRPr="00EC145B">
      <w:rPr>
        <w:spacing w:val="1"/>
        <w:sz w:val="18"/>
        <w:szCs w:val="18"/>
        <w:lang w:val="ru-RU"/>
      </w:rPr>
      <w:t xml:space="preserve"> </w:t>
    </w:r>
    <w:hyperlink r:id="rId2">
      <w:r>
        <w:rPr>
          <w:spacing w:val="1"/>
          <w:sz w:val="18"/>
          <w:szCs w:val="18"/>
        </w:rPr>
        <w:t>h</w:t>
      </w:r>
      <w:r>
        <w:rPr>
          <w:sz w:val="18"/>
          <w:szCs w:val="18"/>
        </w:rPr>
        <w:t>t</w:t>
      </w:r>
      <w:r>
        <w:rPr>
          <w:spacing w:val="-2"/>
          <w:sz w:val="18"/>
          <w:szCs w:val="18"/>
        </w:rPr>
        <w:t>t</w:t>
      </w:r>
      <w:r>
        <w:rPr>
          <w:spacing w:val="1"/>
          <w:sz w:val="18"/>
          <w:szCs w:val="18"/>
        </w:rPr>
        <w:t>p</w:t>
      </w:r>
      <w:r w:rsidRPr="00EC145B">
        <w:rPr>
          <w:sz w:val="18"/>
          <w:szCs w:val="18"/>
          <w:lang w:val="ru-RU"/>
        </w:rPr>
        <w:t>:</w:t>
      </w:r>
      <w:r w:rsidRPr="00EC145B">
        <w:rPr>
          <w:spacing w:val="1"/>
          <w:sz w:val="18"/>
          <w:szCs w:val="18"/>
          <w:lang w:val="ru-RU"/>
        </w:rPr>
        <w:t>/</w:t>
      </w:r>
      <w:r w:rsidRPr="00EC145B">
        <w:rPr>
          <w:sz w:val="18"/>
          <w:szCs w:val="18"/>
          <w:lang w:val="ru-RU"/>
        </w:rPr>
        <w:t>/</w:t>
      </w:r>
      <w:r>
        <w:rPr>
          <w:spacing w:val="-2"/>
          <w:sz w:val="18"/>
          <w:szCs w:val="18"/>
        </w:rPr>
        <w:t>w</w:t>
      </w:r>
      <w:r>
        <w:rPr>
          <w:sz w:val="18"/>
          <w:szCs w:val="18"/>
        </w:rPr>
        <w:t>w</w:t>
      </w:r>
      <w:r>
        <w:rPr>
          <w:spacing w:val="-3"/>
          <w:sz w:val="18"/>
          <w:szCs w:val="18"/>
        </w:rPr>
        <w:t>w</w:t>
      </w:r>
      <w:r w:rsidRPr="00EC145B">
        <w:rPr>
          <w:sz w:val="18"/>
          <w:szCs w:val="18"/>
          <w:lang w:val="ru-RU"/>
        </w:rPr>
        <w:t>.</w:t>
      </w:r>
      <w:proofErr w:type="spellStart"/>
      <w:r>
        <w:rPr>
          <w:spacing w:val="1"/>
          <w:sz w:val="18"/>
          <w:szCs w:val="18"/>
        </w:rPr>
        <w:t>d</w:t>
      </w:r>
      <w:r>
        <w:rPr>
          <w:spacing w:val="-1"/>
          <w:sz w:val="18"/>
          <w:szCs w:val="18"/>
        </w:rPr>
        <w:t>e</w:t>
      </w:r>
      <w:r>
        <w:rPr>
          <w:sz w:val="18"/>
          <w:szCs w:val="18"/>
        </w:rPr>
        <w:t>i</w:t>
      </w:r>
      <w:proofErr w:type="spellEnd"/>
      <w:r w:rsidRPr="00EC145B">
        <w:rPr>
          <w:spacing w:val="1"/>
          <w:sz w:val="18"/>
          <w:szCs w:val="18"/>
          <w:lang w:val="ru-RU"/>
        </w:rPr>
        <w:t>.</w:t>
      </w:r>
      <w:proofErr w:type="spellStart"/>
      <w:r>
        <w:rPr>
          <w:spacing w:val="-1"/>
          <w:sz w:val="18"/>
          <w:szCs w:val="18"/>
        </w:rPr>
        <w:t>g</w:t>
      </w:r>
      <w:r>
        <w:rPr>
          <w:spacing w:val="1"/>
          <w:sz w:val="18"/>
          <w:szCs w:val="18"/>
        </w:rPr>
        <w:t>o</w:t>
      </w:r>
      <w:r>
        <w:rPr>
          <w:spacing w:val="-1"/>
          <w:sz w:val="18"/>
          <w:szCs w:val="18"/>
        </w:rPr>
        <w:t>v</w:t>
      </w:r>
      <w:proofErr w:type="spellEnd"/>
      <w:r w:rsidRPr="00EC145B">
        <w:rPr>
          <w:sz w:val="18"/>
          <w:szCs w:val="18"/>
          <w:lang w:val="ru-RU"/>
        </w:rPr>
        <w:t>.</w:t>
      </w:r>
      <w:proofErr w:type="spellStart"/>
      <w:r>
        <w:rPr>
          <w:spacing w:val="1"/>
          <w:sz w:val="18"/>
          <w:szCs w:val="18"/>
        </w:rPr>
        <w:t>b</w:t>
      </w:r>
      <w:r>
        <w:rPr>
          <w:sz w:val="18"/>
          <w:szCs w:val="18"/>
        </w:rPr>
        <w:t>a</w:t>
      </w:r>
      <w:proofErr w:type="spellEnd"/>
    </w:hyperlink>
  </w:p>
  <w:p w14:paraId="40720BA0" w14:textId="77777777" w:rsidR="00665FF5" w:rsidRPr="00AE7681" w:rsidRDefault="00665FF5">
    <w:pPr>
      <w:pStyle w:val="Footer"/>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142B1" w14:textId="77777777" w:rsidR="00510BF0" w:rsidRDefault="00510BF0" w:rsidP="009400DB">
      <w:r>
        <w:separator/>
      </w:r>
    </w:p>
  </w:footnote>
  <w:footnote w:type="continuationSeparator" w:id="0">
    <w:p w14:paraId="0A18640B" w14:textId="77777777" w:rsidR="00510BF0" w:rsidRDefault="00510BF0" w:rsidP="00940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94766"/>
    <w:multiLevelType w:val="multilevel"/>
    <w:tmpl w:val="67360B94"/>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42C538D7"/>
    <w:multiLevelType w:val="hybridMultilevel"/>
    <w:tmpl w:val="B4B4E194"/>
    <w:lvl w:ilvl="0" w:tplc="8F041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2B3DDB"/>
    <w:multiLevelType w:val="hybridMultilevel"/>
    <w:tmpl w:val="7B920E54"/>
    <w:lvl w:ilvl="0" w:tplc="E81642D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DA21EB"/>
    <w:multiLevelType w:val="hybridMultilevel"/>
    <w:tmpl w:val="5D60B142"/>
    <w:lvl w:ilvl="0" w:tplc="D36456CA">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nsid w:val="61234D77"/>
    <w:multiLevelType w:val="hybridMultilevel"/>
    <w:tmpl w:val="988CB730"/>
    <w:lvl w:ilvl="0" w:tplc="CF825B4A">
      <w:start w:val="1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AFD2C67"/>
    <w:multiLevelType w:val="hybridMultilevel"/>
    <w:tmpl w:val="05BEB65A"/>
    <w:lvl w:ilvl="0" w:tplc="16D66D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145EA1"/>
    <w:multiLevelType w:val="multilevel"/>
    <w:tmpl w:val="030638E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6"/>
  </w:num>
  <w:num w:numId="2">
    <w:abstractNumId w:val="5"/>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01D"/>
    <w:rsid w:val="00000FF1"/>
    <w:rsid w:val="000217ED"/>
    <w:rsid w:val="00026ABC"/>
    <w:rsid w:val="000306E7"/>
    <w:rsid w:val="00033F01"/>
    <w:rsid w:val="00053165"/>
    <w:rsid w:val="000B12C6"/>
    <w:rsid w:val="000B5042"/>
    <w:rsid w:val="000F6F93"/>
    <w:rsid w:val="00101B9B"/>
    <w:rsid w:val="00102BF5"/>
    <w:rsid w:val="00114597"/>
    <w:rsid w:val="001369BD"/>
    <w:rsid w:val="001529B4"/>
    <w:rsid w:val="001573DA"/>
    <w:rsid w:val="001827DD"/>
    <w:rsid w:val="0018441A"/>
    <w:rsid w:val="001B1F7A"/>
    <w:rsid w:val="001F7490"/>
    <w:rsid w:val="0020020D"/>
    <w:rsid w:val="00203B96"/>
    <w:rsid w:val="00241158"/>
    <w:rsid w:val="00244125"/>
    <w:rsid w:val="00244A2C"/>
    <w:rsid w:val="0024655C"/>
    <w:rsid w:val="00270553"/>
    <w:rsid w:val="002B61BA"/>
    <w:rsid w:val="002B6787"/>
    <w:rsid w:val="002E79FB"/>
    <w:rsid w:val="002F6128"/>
    <w:rsid w:val="00301091"/>
    <w:rsid w:val="0030601D"/>
    <w:rsid w:val="0031689C"/>
    <w:rsid w:val="00331527"/>
    <w:rsid w:val="00333FE8"/>
    <w:rsid w:val="00346DAC"/>
    <w:rsid w:val="00352ED0"/>
    <w:rsid w:val="003834FA"/>
    <w:rsid w:val="0038527C"/>
    <w:rsid w:val="003901AF"/>
    <w:rsid w:val="003917C0"/>
    <w:rsid w:val="003B71D3"/>
    <w:rsid w:val="003D3145"/>
    <w:rsid w:val="004212F0"/>
    <w:rsid w:val="00423ED3"/>
    <w:rsid w:val="00425072"/>
    <w:rsid w:val="0043227F"/>
    <w:rsid w:val="00435B6E"/>
    <w:rsid w:val="00453577"/>
    <w:rsid w:val="0046420F"/>
    <w:rsid w:val="00472F45"/>
    <w:rsid w:val="004C7C2A"/>
    <w:rsid w:val="004D4444"/>
    <w:rsid w:val="004D6654"/>
    <w:rsid w:val="004D6994"/>
    <w:rsid w:val="004E7456"/>
    <w:rsid w:val="004E7CBD"/>
    <w:rsid w:val="004E7EEB"/>
    <w:rsid w:val="00510BF0"/>
    <w:rsid w:val="00526CBB"/>
    <w:rsid w:val="005438E6"/>
    <w:rsid w:val="005555F7"/>
    <w:rsid w:val="00563785"/>
    <w:rsid w:val="00580C2C"/>
    <w:rsid w:val="005B00F3"/>
    <w:rsid w:val="005C1B26"/>
    <w:rsid w:val="005E34F7"/>
    <w:rsid w:val="005F6DAC"/>
    <w:rsid w:val="00602B05"/>
    <w:rsid w:val="006049B3"/>
    <w:rsid w:val="00606D0C"/>
    <w:rsid w:val="00615B8A"/>
    <w:rsid w:val="006174DC"/>
    <w:rsid w:val="00630975"/>
    <w:rsid w:val="0063212D"/>
    <w:rsid w:val="00665FF5"/>
    <w:rsid w:val="006A7FD4"/>
    <w:rsid w:val="006B310F"/>
    <w:rsid w:val="006B4283"/>
    <w:rsid w:val="0070444E"/>
    <w:rsid w:val="00713252"/>
    <w:rsid w:val="00746D3A"/>
    <w:rsid w:val="00751003"/>
    <w:rsid w:val="00752581"/>
    <w:rsid w:val="00790303"/>
    <w:rsid w:val="007A6572"/>
    <w:rsid w:val="007B2BBE"/>
    <w:rsid w:val="007B2F70"/>
    <w:rsid w:val="007B4C24"/>
    <w:rsid w:val="007B57A6"/>
    <w:rsid w:val="007C5B31"/>
    <w:rsid w:val="007C6FDD"/>
    <w:rsid w:val="007E2A7E"/>
    <w:rsid w:val="00810C1E"/>
    <w:rsid w:val="00815169"/>
    <w:rsid w:val="008437A4"/>
    <w:rsid w:val="00844CD8"/>
    <w:rsid w:val="00852C3B"/>
    <w:rsid w:val="00871015"/>
    <w:rsid w:val="00880CE5"/>
    <w:rsid w:val="00887040"/>
    <w:rsid w:val="00895F66"/>
    <w:rsid w:val="008A5A2F"/>
    <w:rsid w:val="008B7260"/>
    <w:rsid w:val="008C4F25"/>
    <w:rsid w:val="008E7D7A"/>
    <w:rsid w:val="00930519"/>
    <w:rsid w:val="009400DB"/>
    <w:rsid w:val="00952BA0"/>
    <w:rsid w:val="00956E2C"/>
    <w:rsid w:val="00972E90"/>
    <w:rsid w:val="00974FD4"/>
    <w:rsid w:val="00975277"/>
    <w:rsid w:val="009B5D4E"/>
    <w:rsid w:val="009E5AC8"/>
    <w:rsid w:val="00A00B9B"/>
    <w:rsid w:val="00A249BF"/>
    <w:rsid w:val="00A25F2B"/>
    <w:rsid w:val="00A35688"/>
    <w:rsid w:val="00A42F13"/>
    <w:rsid w:val="00A44875"/>
    <w:rsid w:val="00A53F81"/>
    <w:rsid w:val="00AA620B"/>
    <w:rsid w:val="00AB25B7"/>
    <w:rsid w:val="00AB5B6E"/>
    <w:rsid w:val="00AD5DD4"/>
    <w:rsid w:val="00AE7681"/>
    <w:rsid w:val="00B00D0B"/>
    <w:rsid w:val="00B275A9"/>
    <w:rsid w:val="00B561F1"/>
    <w:rsid w:val="00B61B4E"/>
    <w:rsid w:val="00B6358F"/>
    <w:rsid w:val="00B669E1"/>
    <w:rsid w:val="00B74344"/>
    <w:rsid w:val="00BC1122"/>
    <w:rsid w:val="00BC727A"/>
    <w:rsid w:val="00BE6005"/>
    <w:rsid w:val="00BF558C"/>
    <w:rsid w:val="00C02B69"/>
    <w:rsid w:val="00C1339A"/>
    <w:rsid w:val="00C2325B"/>
    <w:rsid w:val="00C43409"/>
    <w:rsid w:val="00C53512"/>
    <w:rsid w:val="00C54F1A"/>
    <w:rsid w:val="00C57677"/>
    <w:rsid w:val="00C64D25"/>
    <w:rsid w:val="00C71599"/>
    <w:rsid w:val="00C8122B"/>
    <w:rsid w:val="00C93EB6"/>
    <w:rsid w:val="00CB78A9"/>
    <w:rsid w:val="00CC0DCC"/>
    <w:rsid w:val="00CC3733"/>
    <w:rsid w:val="00CD653A"/>
    <w:rsid w:val="00CE0FD3"/>
    <w:rsid w:val="00D107E4"/>
    <w:rsid w:val="00D12C90"/>
    <w:rsid w:val="00D21274"/>
    <w:rsid w:val="00D559D6"/>
    <w:rsid w:val="00D6415B"/>
    <w:rsid w:val="00D648A9"/>
    <w:rsid w:val="00D778EA"/>
    <w:rsid w:val="00D81E96"/>
    <w:rsid w:val="00D8561E"/>
    <w:rsid w:val="00D91E61"/>
    <w:rsid w:val="00DA26B2"/>
    <w:rsid w:val="00DA4AD1"/>
    <w:rsid w:val="00DB2DCC"/>
    <w:rsid w:val="00DC1AA2"/>
    <w:rsid w:val="00DF595D"/>
    <w:rsid w:val="00E005C1"/>
    <w:rsid w:val="00E234D9"/>
    <w:rsid w:val="00E4406D"/>
    <w:rsid w:val="00E62DC5"/>
    <w:rsid w:val="00E84114"/>
    <w:rsid w:val="00EB2A11"/>
    <w:rsid w:val="00EC1057"/>
    <w:rsid w:val="00EC145B"/>
    <w:rsid w:val="00EC5882"/>
    <w:rsid w:val="00ED276D"/>
    <w:rsid w:val="00EE4518"/>
    <w:rsid w:val="00EE52F2"/>
    <w:rsid w:val="00EF55A9"/>
    <w:rsid w:val="00F21361"/>
    <w:rsid w:val="00F42D23"/>
    <w:rsid w:val="00F6074F"/>
    <w:rsid w:val="00F64B55"/>
    <w:rsid w:val="00F70943"/>
    <w:rsid w:val="00F82F10"/>
    <w:rsid w:val="00F9071F"/>
    <w:rsid w:val="00F920CF"/>
    <w:rsid w:val="00F93F96"/>
    <w:rsid w:val="00F972E5"/>
    <w:rsid w:val="00FA74B6"/>
    <w:rsid w:val="00FB2C0B"/>
    <w:rsid w:val="00FB6DD4"/>
    <w:rsid w:val="00FD2407"/>
    <w:rsid w:val="00FD6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882"/>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8A5A2F"/>
    <w:rPr>
      <w:color w:val="0000FF" w:themeColor="hyperlink"/>
      <w:u w:val="single"/>
    </w:rPr>
  </w:style>
  <w:style w:type="paragraph" w:styleId="NormalIndent">
    <w:name w:val="Normal Indent"/>
    <w:basedOn w:val="Normal"/>
    <w:rsid w:val="00EC5882"/>
    <w:pPr>
      <w:ind w:left="720"/>
    </w:pPr>
    <w:rPr>
      <w:sz w:val="24"/>
      <w:szCs w:val="24"/>
      <w:lang w:val="hr-HR" w:eastAsia="hr-HR"/>
    </w:rPr>
  </w:style>
  <w:style w:type="character" w:customStyle="1" w:styleId="UnresolvedMention1">
    <w:name w:val="Unresolved Mention1"/>
    <w:basedOn w:val="DefaultParagraphFont"/>
    <w:uiPriority w:val="99"/>
    <w:semiHidden/>
    <w:unhideWhenUsed/>
    <w:rsid w:val="00101B9B"/>
    <w:rPr>
      <w:color w:val="605E5C"/>
      <w:shd w:val="clear" w:color="auto" w:fill="E1DFDD"/>
    </w:rPr>
  </w:style>
  <w:style w:type="character" w:styleId="FollowedHyperlink">
    <w:name w:val="FollowedHyperlink"/>
    <w:basedOn w:val="DefaultParagraphFont"/>
    <w:uiPriority w:val="99"/>
    <w:semiHidden/>
    <w:unhideWhenUsed/>
    <w:rsid w:val="00B00D0B"/>
    <w:rPr>
      <w:color w:val="800080" w:themeColor="followedHyperlink"/>
      <w:u w:val="single"/>
    </w:rPr>
  </w:style>
  <w:style w:type="paragraph" w:styleId="ListParagraph">
    <w:name w:val="List Paragraph"/>
    <w:basedOn w:val="Normal"/>
    <w:uiPriority w:val="34"/>
    <w:qFormat/>
    <w:rsid w:val="00F82F10"/>
    <w:pPr>
      <w:ind w:left="720"/>
      <w:contextualSpacing/>
    </w:pPr>
  </w:style>
  <w:style w:type="character" w:customStyle="1" w:styleId="UnresolvedMention2">
    <w:name w:val="Unresolved Mention2"/>
    <w:basedOn w:val="DefaultParagraphFont"/>
    <w:uiPriority w:val="99"/>
    <w:semiHidden/>
    <w:unhideWhenUsed/>
    <w:rsid w:val="00CE0FD3"/>
    <w:rPr>
      <w:color w:val="605E5C"/>
      <w:shd w:val="clear" w:color="auto" w:fill="E1DFDD"/>
    </w:rPr>
  </w:style>
  <w:style w:type="character" w:styleId="FootnoteReference">
    <w:name w:val="footnote reference"/>
    <w:aliases w:val="BVI fnr,ftref,Footnote Reference Superscript,Footnote Reference Number,Footnote Reference Number1,Footnote Reference Number2,Footnote Reference Number3,Footnote Reference Number4,Footnote Reference Number5,Footnote Reference Number6,f"/>
    <w:link w:val="Tablica1"/>
    <w:uiPriority w:val="99"/>
    <w:unhideWhenUsed/>
    <w:qFormat/>
    <w:rsid w:val="009400DB"/>
    <w:rPr>
      <w:sz w:val="16"/>
      <w:vertAlign w:val="superscript"/>
    </w:rPr>
  </w:style>
  <w:style w:type="paragraph" w:customStyle="1" w:styleId="Tablica1">
    <w:name w:val="Tablica 1"/>
    <w:basedOn w:val="Normal"/>
    <w:link w:val="FootnoteReference"/>
    <w:autoRedefine/>
    <w:uiPriority w:val="99"/>
    <w:qFormat/>
    <w:rsid w:val="009400DB"/>
    <w:pPr>
      <w:spacing w:after="160"/>
      <w:jc w:val="both"/>
    </w:pPr>
    <w:rPr>
      <w:sz w:val="16"/>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n,Char"/>
    <w:basedOn w:val="Normal"/>
    <w:link w:val="FootnoteTextChar"/>
    <w:uiPriority w:val="99"/>
    <w:unhideWhenUsed/>
    <w:qFormat/>
    <w:rsid w:val="007B4C24"/>
    <w:pPr>
      <w:jc w:val="both"/>
    </w:pPr>
    <w:rPr>
      <w:rFonts w:eastAsiaTheme="minorHAnsi" w:cstheme="minorBidi"/>
      <w:lang w:val="bs-Latn-BA"/>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basedOn w:val="DefaultParagraphFont"/>
    <w:link w:val="FootnoteText"/>
    <w:uiPriority w:val="99"/>
    <w:rsid w:val="007B4C24"/>
    <w:rPr>
      <w:rFonts w:eastAsiaTheme="minorHAnsi" w:cstheme="minorBidi"/>
      <w:lang w:val="bs-Latn-BA"/>
    </w:rPr>
  </w:style>
  <w:style w:type="table" w:styleId="TableGrid">
    <w:name w:val="Table Grid"/>
    <w:basedOn w:val="TableNormal"/>
    <w:uiPriority w:val="39"/>
    <w:rsid w:val="00A44875"/>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65FF5"/>
    <w:pPr>
      <w:tabs>
        <w:tab w:val="center" w:pos="4536"/>
        <w:tab w:val="right" w:pos="9072"/>
      </w:tabs>
    </w:pPr>
  </w:style>
  <w:style w:type="character" w:customStyle="1" w:styleId="HeaderChar">
    <w:name w:val="Header Char"/>
    <w:basedOn w:val="DefaultParagraphFont"/>
    <w:link w:val="Header"/>
    <w:uiPriority w:val="99"/>
    <w:rsid w:val="00665FF5"/>
  </w:style>
  <w:style w:type="paragraph" w:styleId="Footer">
    <w:name w:val="footer"/>
    <w:basedOn w:val="Normal"/>
    <w:link w:val="FooterChar"/>
    <w:uiPriority w:val="99"/>
    <w:unhideWhenUsed/>
    <w:rsid w:val="00665FF5"/>
    <w:pPr>
      <w:tabs>
        <w:tab w:val="center" w:pos="4536"/>
        <w:tab w:val="right" w:pos="9072"/>
      </w:tabs>
    </w:pPr>
  </w:style>
  <w:style w:type="character" w:customStyle="1" w:styleId="FooterChar">
    <w:name w:val="Footer Char"/>
    <w:basedOn w:val="DefaultParagraphFont"/>
    <w:link w:val="Footer"/>
    <w:uiPriority w:val="99"/>
    <w:rsid w:val="00665FF5"/>
  </w:style>
  <w:style w:type="character" w:customStyle="1" w:styleId="UnresolvedMention">
    <w:name w:val="Unresolved Mention"/>
    <w:basedOn w:val="DefaultParagraphFont"/>
    <w:uiPriority w:val="99"/>
    <w:semiHidden/>
    <w:unhideWhenUsed/>
    <w:rsid w:val="00FD6A0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882"/>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8A5A2F"/>
    <w:rPr>
      <w:color w:val="0000FF" w:themeColor="hyperlink"/>
      <w:u w:val="single"/>
    </w:rPr>
  </w:style>
  <w:style w:type="paragraph" w:styleId="NormalIndent">
    <w:name w:val="Normal Indent"/>
    <w:basedOn w:val="Normal"/>
    <w:rsid w:val="00EC5882"/>
    <w:pPr>
      <w:ind w:left="720"/>
    </w:pPr>
    <w:rPr>
      <w:sz w:val="24"/>
      <w:szCs w:val="24"/>
      <w:lang w:val="hr-HR" w:eastAsia="hr-HR"/>
    </w:rPr>
  </w:style>
  <w:style w:type="character" w:customStyle="1" w:styleId="UnresolvedMention1">
    <w:name w:val="Unresolved Mention1"/>
    <w:basedOn w:val="DefaultParagraphFont"/>
    <w:uiPriority w:val="99"/>
    <w:semiHidden/>
    <w:unhideWhenUsed/>
    <w:rsid w:val="00101B9B"/>
    <w:rPr>
      <w:color w:val="605E5C"/>
      <w:shd w:val="clear" w:color="auto" w:fill="E1DFDD"/>
    </w:rPr>
  </w:style>
  <w:style w:type="character" w:styleId="FollowedHyperlink">
    <w:name w:val="FollowedHyperlink"/>
    <w:basedOn w:val="DefaultParagraphFont"/>
    <w:uiPriority w:val="99"/>
    <w:semiHidden/>
    <w:unhideWhenUsed/>
    <w:rsid w:val="00B00D0B"/>
    <w:rPr>
      <w:color w:val="800080" w:themeColor="followedHyperlink"/>
      <w:u w:val="single"/>
    </w:rPr>
  </w:style>
  <w:style w:type="paragraph" w:styleId="ListParagraph">
    <w:name w:val="List Paragraph"/>
    <w:basedOn w:val="Normal"/>
    <w:uiPriority w:val="34"/>
    <w:qFormat/>
    <w:rsid w:val="00F82F10"/>
    <w:pPr>
      <w:ind w:left="720"/>
      <w:contextualSpacing/>
    </w:pPr>
  </w:style>
  <w:style w:type="character" w:customStyle="1" w:styleId="UnresolvedMention2">
    <w:name w:val="Unresolved Mention2"/>
    <w:basedOn w:val="DefaultParagraphFont"/>
    <w:uiPriority w:val="99"/>
    <w:semiHidden/>
    <w:unhideWhenUsed/>
    <w:rsid w:val="00CE0FD3"/>
    <w:rPr>
      <w:color w:val="605E5C"/>
      <w:shd w:val="clear" w:color="auto" w:fill="E1DFDD"/>
    </w:rPr>
  </w:style>
  <w:style w:type="character" w:styleId="FootnoteReference">
    <w:name w:val="footnote reference"/>
    <w:aliases w:val="BVI fnr,ftref,Footnote Reference Superscript,Footnote Reference Number,Footnote Reference Number1,Footnote Reference Number2,Footnote Reference Number3,Footnote Reference Number4,Footnote Reference Number5,Footnote Reference Number6,f"/>
    <w:link w:val="Tablica1"/>
    <w:uiPriority w:val="99"/>
    <w:unhideWhenUsed/>
    <w:qFormat/>
    <w:rsid w:val="009400DB"/>
    <w:rPr>
      <w:sz w:val="16"/>
      <w:vertAlign w:val="superscript"/>
    </w:rPr>
  </w:style>
  <w:style w:type="paragraph" w:customStyle="1" w:styleId="Tablica1">
    <w:name w:val="Tablica 1"/>
    <w:basedOn w:val="Normal"/>
    <w:link w:val="FootnoteReference"/>
    <w:autoRedefine/>
    <w:uiPriority w:val="99"/>
    <w:qFormat/>
    <w:rsid w:val="009400DB"/>
    <w:pPr>
      <w:spacing w:after="160"/>
      <w:jc w:val="both"/>
    </w:pPr>
    <w:rPr>
      <w:sz w:val="16"/>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n,Char"/>
    <w:basedOn w:val="Normal"/>
    <w:link w:val="FootnoteTextChar"/>
    <w:uiPriority w:val="99"/>
    <w:unhideWhenUsed/>
    <w:qFormat/>
    <w:rsid w:val="007B4C24"/>
    <w:pPr>
      <w:jc w:val="both"/>
    </w:pPr>
    <w:rPr>
      <w:rFonts w:eastAsiaTheme="minorHAnsi" w:cstheme="minorBidi"/>
      <w:lang w:val="bs-Latn-BA"/>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basedOn w:val="DefaultParagraphFont"/>
    <w:link w:val="FootnoteText"/>
    <w:uiPriority w:val="99"/>
    <w:rsid w:val="007B4C24"/>
    <w:rPr>
      <w:rFonts w:eastAsiaTheme="minorHAnsi" w:cstheme="minorBidi"/>
      <w:lang w:val="bs-Latn-BA"/>
    </w:rPr>
  </w:style>
  <w:style w:type="table" w:styleId="TableGrid">
    <w:name w:val="Table Grid"/>
    <w:basedOn w:val="TableNormal"/>
    <w:uiPriority w:val="39"/>
    <w:rsid w:val="00A44875"/>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65FF5"/>
    <w:pPr>
      <w:tabs>
        <w:tab w:val="center" w:pos="4536"/>
        <w:tab w:val="right" w:pos="9072"/>
      </w:tabs>
    </w:pPr>
  </w:style>
  <w:style w:type="character" w:customStyle="1" w:styleId="HeaderChar">
    <w:name w:val="Header Char"/>
    <w:basedOn w:val="DefaultParagraphFont"/>
    <w:link w:val="Header"/>
    <w:uiPriority w:val="99"/>
    <w:rsid w:val="00665FF5"/>
  </w:style>
  <w:style w:type="paragraph" w:styleId="Footer">
    <w:name w:val="footer"/>
    <w:basedOn w:val="Normal"/>
    <w:link w:val="FooterChar"/>
    <w:uiPriority w:val="99"/>
    <w:unhideWhenUsed/>
    <w:rsid w:val="00665FF5"/>
    <w:pPr>
      <w:tabs>
        <w:tab w:val="center" w:pos="4536"/>
        <w:tab w:val="right" w:pos="9072"/>
      </w:tabs>
    </w:pPr>
  </w:style>
  <w:style w:type="character" w:customStyle="1" w:styleId="FooterChar">
    <w:name w:val="Footer Char"/>
    <w:basedOn w:val="DefaultParagraphFont"/>
    <w:link w:val="Footer"/>
    <w:uiPriority w:val="99"/>
    <w:rsid w:val="00665FF5"/>
  </w:style>
  <w:style w:type="character" w:customStyle="1" w:styleId="UnresolvedMention">
    <w:name w:val="Unresolved Mention"/>
    <w:basedOn w:val="DefaultParagraphFont"/>
    <w:uiPriority w:val="99"/>
    <w:semiHidden/>
    <w:unhideWhenUsed/>
    <w:rsid w:val="00FD6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378293">
      <w:bodyDiv w:val="1"/>
      <w:marLeft w:val="0"/>
      <w:marRight w:val="0"/>
      <w:marTop w:val="0"/>
      <w:marBottom w:val="0"/>
      <w:divBdr>
        <w:top w:val="none" w:sz="0" w:space="0" w:color="auto"/>
        <w:left w:val="none" w:sz="0" w:space="0" w:color="auto"/>
        <w:bottom w:val="none" w:sz="0" w:space="0" w:color="auto"/>
        <w:right w:val="none" w:sz="0" w:space="0" w:color="auto"/>
      </w:divBdr>
      <w:divsChild>
        <w:div w:id="1939635057">
          <w:marLeft w:val="706"/>
          <w:marRight w:val="0"/>
          <w:marTop w:val="0"/>
          <w:marBottom w:val="0"/>
          <w:divBdr>
            <w:top w:val="none" w:sz="0" w:space="0" w:color="auto"/>
            <w:left w:val="none" w:sz="0" w:space="0" w:color="auto"/>
            <w:bottom w:val="none" w:sz="0" w:space="0" w:color="auto"/>
            <w:right w:val="none" w:sz="0" w:space="0" w:color="auto"/>
          </w:divBdr>
        </w:div>
      </w:divsChild>
    </w:div>
    <w:div w:id="2101756084">
      <w:bodyDiv w:val="1"/>
      <w:marLeft w:val="0"/>
      <w:marRight w:val="0"/>
      <w:marTop w:val="0"/>
      <w:marBottom w:val="0"/>
      <w:divBdr>
        <w:top w:val="none" w:sz="0" w:space="0" w:color="auto"/>
        <w:left w:val="none" w:sz="0" w:space="0" w:color="auto"/>
        <w:bottom w:val="none" w:sz="0" w:space="0" w:color="auto"/>
        <w:right w:val="none" w:sz="0" w:space="0" w:color="auto"/>
      </w:divBdr>
      <w:divsChild>
        <w:div w:id="661933949">
          <w:marLeft w:val="70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ei.gov.ba/bs/stabilization-agree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i.gov.ba/bs/stabilization-agreemen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dei.gov.ba" TargetMode="External"/><Relationship Id="rId1" Type="http://schemas.openxmlformats.org/officeDocument/2006/relationships/hyperlink" Target="http://www.dei.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55726-F733-461C-AAA9-A233F18C2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3940</Characters>
  <Application>Microsoft Office Word</Application>
  <DocSecurity>0</DocSecurity>
  <Lines>32</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Kavaz-Siručić</dc:creator>
  <cp:lastModifiedBy>KORISNIK DT</cp:lastModifiedBy>
  <cp:revision>2</cp:revision>
  <cp:lastPrinted>2019-05-30T09:25:00Z</cp:lastPrinted>
  <dcterms:created xsi:type="dcterms:W3CDTF">2023-06-18T08:49:00Z</dcterms:created>
  <dcterms:modified xsi:type="dcterms:W3CDTF">2023-06-18T08:49:00Z</dcterms:modified>
</cp:coreProperties>
</file>