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14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861CB3" w:rsidRPr="00451273" w14:paraId="596D6161" w14:textId="77777777" w:rsidTr="00C34F89">
        <w:trPr>
          <w:cantSplit/>
        </w:trPr>
        <w:tc>
          <w:tcPr>
            <w:tcW w:w="4111" w:type="dxa"/>
          </w:tcPr>
          <w:p w14:paraId="3C7AB75B" w14:textId="77777777" w:rsidR="00861CB3" w:rsidRPr="00EC5882" w:rsidRDefault="00861CB3" w:rsidP="00C34F89">
            <w:pPr>
              <w:pStyle w:val="Normalnouvlaenje"/>
              <w:tabs>
                <w:tab w:val="center" w:pos="1947"/>
              </w:tabs>
              <w:ind w:left="0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986561"/>
            <w:r w:rsidRPr="00EC5882">
              <w:rPr>
                <w:rFonts w:ascii="Calibri" w:hAnsi="Calibri"/>
                <w:position w:val="14"/>
                <w:sz w:val="22"/>
                <w:szCs w:val="22"/>
              </w:rPr>
              <w:tab/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4AD8F487" w14:textId="77777777" w:rsidR="00861CB3" w:rsidRPr="00EC5882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object w:dxaOrig="833" w:dyaOrig="943" w14:anchorId="1DE02F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4" o:title=""/>
                </v:shape>
                <o:OLEObject Type="Embed" ProgID="CorelDRAW.Graphic.9" ShapeID="_x0000_i1025" DrawAspect="Content" ObjectID="_1809756616" r:id="rId5"/>
              </w:object>
            </w:r>
          </w:p>
        </w:tc>
        <w:tc>
          <w:tcPr>
            <w:tcW w:w="4111" w:type="dxa"/>
          </w:tcPr>
          <w:p w14:paraId="0029AA0D" w14:textId="77777777" w:rsidR="00861CB3" w:rsidRPr="00EC5882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EC588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861CB3" w:rsidRPr="00B0602C" w14:paraId="6915C1C3" w14:textId="77777777" w:rsidTr="00C34F89">
        <w:trPr>
          <w:cantSplit/>
        </w:trPr>
        <w:tc>
          <w:tcPr>
            <w:tcW w:w="4111" w:type="dxa"/>
          </w:tcPr>
          <w:p w14:paraId="543DA9F8" w14:textId="77777777" w:rsidR="00861CB3" w:rsidRPr="00B0602C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AE6E40" w14:textId="77777777" w:rsidR="00861CB3" w:rsidRPr="00B0602C" w:rsidRDefault="00861CB3" w:rsidP="00C34F8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C88151" w14:textId="77777777" w:rsidR="00861CB3" w:rsidRPr="00B0602C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861CB3" w:rsidRPr="00B0602C" w14:paraId="0909D98F" w14:textId="77777777" w:rsidTr="00C34F89">
        <w:trPr>
          <w:cantSplit/>
        </w:trPr>
        <w:tc>
          <w:tcPr>
            <w:tcW w:w="4111" w:type="dxa"/>
          </w:tcPr>
          <w:p w14:paraId="02B73EAB" w14:textId="77777777" w:rsidR="00861CB3" w:rsidRPr="00B0602C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EBDE04" w14:textId="77777777" w:rsidR="00861CB3" w:rsidRPr="00B0602C" w:rsidRDefault="00861CB3" w:rsidP="00C34F8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B12CA0" w14:textId="77777777" w:rsidR="00861CB3" w:rsidRPr="00B0602C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1CB3" w:rsidRPr="00B0602C" w14:paraId="66CF2794" w14:textId="77777777" w:rsidTr="00C34F8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9EBF7D9" w14:textId="77777777" w:rsidR="00861CB3" w:rsidRPr="00B0602C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C9022D0" w14:textId="77777777" w:rsidR="00861CB3" w:rsidRPr="00B0602C" w:rsidRDefault="00861CB3" w:rsidP="00C34F89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945D61" w14:textId="77777777" w:rsidR="00861CB3" w:rsidRPr="00B0602C" w:rsidRDefault="00861CB3" w:rsidP="00C34F89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B0602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  <w:bookmarkEnd w:id="0"/>
    </w:tbl>
    <w:p w14:paraId="342E54B3" w14:textId="77777777" w:rsidR="00861CB3" w:rsidRPr="00B06086" w:rsidRDefault="00861CB3" w:rsidP="00861CB3">
      <w:pPr>
        <w:spacing w:line="180" w:lineRule="exact"/>
        <w:rPr>
          <w:rFonts w:ascii="Tahoma" w:eastAsia="Tahoma" w:hAnsi="Tahoma" w:cs="Tahoma"/>
          <w:sz w:val="16"/>
          <w:szCs w:val="16"/>
        </w:rPr>
      </w:pPr>
    </w:p>
    <w:p w14:paraId="70741B22" w14:textId="77777777" w:rsidR="00861CB3" w:rsidRPr="00B06086" w:rsidRDefault="00861CB3" w:rsidP="00861CB3">
      <w:pPr>
        <w:spacing w:line="180" w:lineRule="exact"/>
        <w:rPr>
          <w:rFonts w:ascii="Tahoma" w:eastAsia="Tahoma" w:hAnsi="Tahoma" w:cs="Tahoma"/>
          <w:sz w:val="16"/>
          <w:szCs w:val="16"/>
        </w:rPr>
      </w:pPr>
    </w:p>
    <w:p w14:paraId="3141EBD3" w14:textId="601FBFE4" w:rsidR="00861CB3" w:rsidRPr="00861CB3" w:rsidRDefault="00861CB3" w:rsidP="00861CB3">
      <w:pPr>
        <w:spacing w:line="180" w:lineRule="exact"/>
        <w:rPr>
          <w:iCs/>
          <w:sz w:val="16"/>
          <w:szCs w:val="16"/>
        </w:rPr>
      </w:pPr>
      <w:r w:rsidRPr="00861CB3">
        <w:rPr>
          <w:rFonts w:asciiTheme="minorHAnsi" w:eastAsia="Calibri" w:hAnsiTheme="minorHAnsi" w:cstheme="minorHAnsi"/>
          <w:iCs/>
          <w:spacing w:val="1"/>
          <w:sz w:val="24"/>
          <w:szCs w:val="24"/>
        </w:rPr>
        <w:t>Br</w:t>
      </w:r>
      <w:r>
        <w:rPr>
          <w:rFonts w:asciiTheme="minorHAnsi" w:eastAsia="Calibri" w:hAnsiTheme="minorHAnsi" w:cstheme="minorHAnsi"/>
          <w:iCs/>
          <w:spacing w:val="1"/>
          <w:sz w:val="24"/>
          <w:szCs w:val="24"/>
        </w:rPr>
        <w:t>uxell</w:t>
      </w:r>
      <w:r w:rsidRPr="00861CB3">
        <w:rPr>
          <w:rFonts w:asciiTheme="minorHAnsi" w:eastAsia="Calibri" w:hAnsiTheme="minorHAnsi" w:cstheme="minorHAnsi"/>
          <w:iCs/>
          <w:spacing w:val="1"/>
          <w:sz w:val="24"/>
          <w:szCs w:val="24"/>
        </w:rPr>
        <w:t>e</w:t>
      </w:r>
      <w:r>
        <w:rPr>
          <w:rFonts w:asciiTheme="minorHAnsi" w:eastAsia="Calibri" w:hAnsiTheme="minorHAnsi" w:cstheme="minorHAnsi"/>
          <w:iCs/>
          <w:spacing w:val="1"/>
          <w:sz w:val="24"/>
          <w:szCs w:val="24"/>
        </w:rPr>
        <w:t>s</w:t>
      </w:r>
      <w:r w:rsidRPr="00861CB3">
        <w:rPr>
          <w:rFonts w:asciiTheme="minorHAnsi" w:eastAsia="Calibri" w:hAnsiTheme="minorHAnsi" w:cstheme="minorHAnsi"/>
          <w:iCs/>
          <w:sz w:val="24"/>
          <w:szCs w:val="24"/>
        </w:rPr>
        <w:t>,</w:t>
      </w:r>
      <w:r w:rsidRPr="00861CB3"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 22.</w:t>
      </w:r>
      <w:r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 </w:t>
      </w:r>
      <w:r w:rsidRPr="00861CB3">
        <w:rPr>
          <w:rFonts w:asciiTheme="minorHAnsi" w:eastAsia="Calibri" w:hAnsiTheme="minorHAnsi" w:cstheme="minorHAnsi"/>
          <w:iCs/>
          <w:spacing w:val="1"/>
          <w:sz w:val="24"/>
          <w:szCs w:val="24"/>
        </w:rPr>
        <w:t>5.</w:t>
      </w:r>
      <w:r>
        <w:rPr>
          <w:rFonts w:asciiTheme="minorHAnsi" w:eastAsia="Calibri" w:hAnsiTheme="minorHAnsi" w:cstheme="minorHAnsi"/>
          <w:iCs/>
          <w:spacing w:val="1"/>
          <w:sz w:val="24"/>
          <w:szCs w:val="24"/>
        </w:rPr>
        <w:t xml:space="preserve"> </w:t>
      </w:r>
      <w:r w:rsidRPr="00861CB3">
        <w:rPr>
          <w:rFonts w:asciiTheme="minorHAnsi" w:eastAsia="Calibri" w:hAnsiTheme="minorHAnsi" w:cstheme="minorHAnsi"/>
          <w:iCs/>
          <w:spacing w:val="1"/>
          <w:sz w:val="24"/>
          <w:szCs w:val="24"/>
        </w:rPr>
        <w:t>2024. godine</w:t>
      </w:r>
    </w:p>
    <w:p w14:paraId="4900DCE3" w14:textId="77777777" w:rsidR="00861CB3" w:rsidRPr="00B06086" w:rsidRDefault="00861CB3" w:rsidP="00861CB3">
      <w:p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06086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B06086">
        <w:rPr>
          <w:rFonts w:asciiTheme="minorHAnsi" w:eastAsia="Calibri" w:hAnsiTheme="minorHAnsi" w:cstheme="minorHAnsi"/>
          <w:i/>
          <w:sz w:val="24"/>
          <w:szCs w:val="24"/>
        </w:rPr>
        <w:t>E</w:t>
      </w:r>
      <w:r w:rsidRPr="00B06086">
        <w:rPr>
          <w:rFonts w:asciiTheme="minorHAnsi" w:eastAsia="Calibri" w:hAnsiTheme="minorHAnsi" w:cstheme="minorHAnsi"/>
          <w:i/>
          <w:spacing w:val="1"/>
          <w:sz w:val="24"/>
          <w:szCs w:val="24"/>
        </w:rPr>
        <w:t>D</w:t>
      </w:r>
      <w:r w:rsidRPr="00B06086">
        <w:rPr>
          <w:rFonts w:asciiTheme="minorHAnsi" w:eastAsia="Calibri" w:hAnsiTheme="minorHAnsi" w:cstheme="minorHAnsi"/>
          <w:i/>
          <w:sz w:val="24"/>
          <w:szCs w:val="24"/>
        </w:rPr>
        <w:t>I</w:t>
      </w:r>
      <w:r w:rsidRPr="00B06086">
        <w:rPr>
          <w:rFonts w:asciiTheme="minorHAnsi" w:eastAsia="Calibri" w:hAnsiTheme="minorHAnsi" w:cstheme="minorHAnsi"/>
          <w:i/>
          <w:spacing w:val="-1"/>
          <w:sz w:val="24"/>
          <w:szCs w:val="24"/>
        </w:rPr>
        <w:t>J</w:t>
      </w:r>
      <w:r w:rsidRPr="00B06086">
        <w:rPr>
          <w:rFonts w:asciiTheme="minorHAnsi" w:eastAsia="Calibri" w:hAnsiTheme="minorHAnsi" w:cstheme="minorHAnsi"/>
          <w:i/>
          <w:spacing w:val="-3"/>
          <w:sz w:val="24"/>
          <w:szCs w:val="24"/>
        </w:rPr>
        <w:t>I</w:t>
      </w:r>
      <w:r w:rsidRPr="00B06086">
        <w:rPr>
          <w:rFonts w:asciiTheme="minorHAnsi" w:eastAsia="Calibri" w:hAnsiTheme="minorHAnsi" w:cstheme="minorHAnsi"/>
          <w:i/>
          <w:spacing w:val="1"/>
          <w:sz w:val="24"/>
          <w:szCs w:val="24"/>
        </w:rPr>
        <w:t>M</w:t>
      </w:r>
      <w:r w:rsidRPr="00B06086">
        <w:rPr>
          <w:rFonts w:asciiTheme="minorHAnsi" w:eastAsia="Calibri" w:hAnsiTheme="minorHAnsi" w:cstheme="minorHAnsi"/>
          <w:i/>
          <w:sz w:val="24"/>
          <w:szCs w:val="24"/>
        </w:rPr>
        <w:t>A</w:t>
      </w:r>
    </w:p>
    <w:p w14:paraId="4126C522" w14:textId="2A7041E7" w:rsidR="00861CB3" w:rsidRPr="00B06086" w:rsidRDefault="00861CB3" w:rsidP="00861CB3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>PRI</w:t>
      </w:r>
      <w:r w:rsidRPr="00B06086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 xml:space="preserve">OPĆENJE ZA MEDIJE </w:t>
      </w:r>
    </w:p>
    <w:p w14:paraId="07658CEF" w14:textId="560F4E19" w:rsidR="00861CB3" w:rsidRPr="00B06086" w:rsidRDefault="00861CB3" w:rsidP="00861CB3">
      <w:pPr>
        <w:jc w:val="center"/>
        <w:rPr>
          <w:rFonts w:asciiTheme="minorHAnsi" w:hAnsiTheme="minorHAnsi" w:cstheme="minorHAnsi"/>
          <w:b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>Održan osmi sastanak Pododbora za ekonomska i finan</w:t>
      </w:r>
      <w:r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>c</w:t>
      </w:r>
      <w:r w:rsidRPr="00B06086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w:t>ijska pitanja i statistiku</w:t>
      </w:r>
    </w:p>
    <w:p w14:paraId="5DDC6FA9" w14:textId="77777777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6CB48121" w14:textId="3661AC0A" w:rsidR="00861CB3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Na osmom sastanku Pododbora za ekonomska i finan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c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ijska pitanja i statistiku između E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ropske unije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 B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osne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H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ercegovine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koji je održan  22.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svibnja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2025. godine u Br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uxelle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su, E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ropska komisija je pozdravila usvjanje Zakona o zaštiti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osobnih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podataka i Zakona o graničnoj kontroli, te pozvala na usvajanje zakona vezanih za vladavinu prava i imenovanje glavnog pregovarača kako bi se napredovalo ka usvajanju pregovaračkog okvira EU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-a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s BiH.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r w:rsidRPr="00B36090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 w:rsidRPr="00B36090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ropska komisija pozvala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je </w:t>
      </w:r>
      <w:r w:rsidRPr="00B36090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bh. vlasti da finaliz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iraju</w:t>
      </w:r>
      <w:r w:rsidRPr="00B36090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i dostave Plan reformi, a kako bi BiH iskoristila priliku koju pruža Plan rasta za Zapadni Balkan.</w:t>
      </w:r>
    </w:p>
    <w:p w14:paraId="63CACDEA" w14:textId="77777777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764A7ED1" w14:textId="6B6B026B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ropska komisija ocijenila </w:t>
      </w:r>
      <w:r w:rsidR="00050D92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je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kako je BiH u prošoj godini ostvarila ograničen napredak u oblasti Ekonomskog kriterija. Istaknuti su rast konkurentnosti i stabilnost finan</w:t>
      </w:r>
      <w:r w:rsidR="00050D92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c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ijskog sektora, a među izazovima u funkcioni</w:t>
      </w:r>
      <w:r w:rsidR="00050D92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r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anju tržišne ekonomije i sposobnosti zemlje da se nosi s pritiskom konkurencije i tržišnim snagama izdvojeni su ekonomsko upravljanje, vladavina prava, e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migracija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stanovništva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, javna p</w:t>
      </w:r>
      <w:r w:rsidR="00020AFD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o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duzeća i fragmentacija institucija. </w:t>
      </w:r>
    </w:p>
    <w:p w14:paraId="22F01EF3" w14:textId="77777777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70E0100A" w14:textId="3091DA53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Prema raspoloživim statističkim podacima u 2024. godine registr</w:t>
      </w:r>
      <w:r w:rsidR="00020AFD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iran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je realni rast BDP-a od 2,5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posto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a koji je temeljen na domaćoj tražnji i investicijama. Istaknuto je kako se prema preliminarnim pokazateljima trend rasta ekonomske aktivnosti nastavlja i u 2025. godini.  U prvom kvartalu 2025. godine nastavljena su pozitivna kretanja </w:t>
      </w:r>
      <w:r w:rsidR="00020AFD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 svezi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rast</w:t>
      </w:r>
      <w:r w:rsidR="00020AFD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a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broja zaposlenih od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jedan posto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i nominalni rast pla</w:t>
      </w:r>
      <w:r w:rsidR="00020AFD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ć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a od 10% u odnosu na prošlu godinu. Inflacija u prvom kvartalu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2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025. godine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je 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iznosila 3,4% i nešto je viša u odnosu na prethodnu godinu. Zabilježeno je i poveća</w:t>
      </w:r>
      <w:r w:rsidR="00020AFD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n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je javnih prihoda od 7,3% kao i naznake rasta vanjskotrgovin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sk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e razmjene. </w:t>
      </w:r>
    </w:p>
    <w:p w14:paraId="5ED43F93" w14:textId="77777777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0F97D2A2" w14:textId="5296BAB4" w:rsidR="00861CB3" w:rsidRPr="00B06086" w:rsidRDefault="00780D94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Izaslanstvo</w:t>
      </w:r>
      <w:r w:rsidR="00861CB3"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BiH informi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ralo je</w:t>
      </w:r>
      <w:r w:rsidR="00861CB3"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kako je usvojen Ekonomski plan reformi, te Globalni okvir fiskalnog bilan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c</w:t>
      </w:r>
      <w:r w:rsidR="00861CB3"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a i politika u BiH za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razdoblje</w:t>
      </w:r>
      <w:r w:rsidR="00861CB3"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2025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.-</w:t>
      </w:r>
      <w:r w:rsidR="00861CB3"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2027. godina.</w:t>
      </w:r>
    </w:p>
    <w:p w14:paraId="4E78375D" w14:textId="77777777" w:rsidR="00861CB3" w:rsidRPr="00B06086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74F0D28F" w14:textId="050F0403" w:rsidR="00861CB3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ropska komisija je pozdravila do sada poduzete korake na pristupanju SEPA (Jedinstvena zona plaćanja u eurima), a BiH treba nastaviti napredovati u usklađivanju s pravnom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s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tečevinom EU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-a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i Sporazumom o stabilizaciji i pridruživanju vez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a</w:t>
      </w:r>
      <w:r w:rsidRPr="00B06086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no za liberalizaciju kretanja kapitala i plaćanja. </w:t>
      </w:r>
    </w:p>
    <w:p w14:paraId="55CAA7BE" w14:textId="77777777" w:rsidR="00861CB3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5A91FE29" w14:textId="5AE29664" w:rsidR="00861CB3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Vezano za kontrolu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javnih finan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c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ija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BiH, među ostal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im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treba 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poboljšati relevantno zakonodavstvo o upravljanju jav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nim finan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c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ijama na svim 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razinama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vlasti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, te 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poboljš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ati kvalitetu praćenja javnih p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o</w:t>
      </w:r>
      <w:r w:rsidRPr="00742331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duzeća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. </w:t>
      </w:r>
    </w:p>
    <w:p w14:paraId="2DD05871" w14:textId="77777777" w:rsidR="00861CB3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</w:p>
    <w:p w14:paraId="2CDDAFF5" w14:textId="37D4AA50" w:rsidR="00861CB3" w:rsidRDefault="00861CB3" w:rsidP="00861CB3">
      <w:pPr>
        <w:jc w:val="both"/>
        <w:rPr>
          <w:rFonts w:asciiTheme="minorHAnsi" w:hAnsiTheme="minorHAnsi" w:cstheme="minorHAnsi"/>
          <w:bCs/>
          <w:noProof/>
          <w:sz w:val="24"/>
          <w:szCs w:val="24"/>
          <w:lang w:eastAsia="en-GB"/>
        </w:rPr>
      </w:pPr>
      <w:r w:rsidRPr="004815BE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lastRenderedPageBreak/>
        <w:t>U oblasti zaštite finan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c</w:t>
      </w:r>
      <w:r w:rsidRPr="004815BE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ijskih interesa EU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-a</w:t>
      </w:r>
      <w:r w:rsidRPr="004815BE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potrebno je da BiH poduzme korake za uspostavljanje službe za koordinaciju borbe protiv pr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ij</w:t>
      </w:r>
      <w:r w:rsidRPr="004815BE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evara (AFCOS) te da nastavi razvijati s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 w:rsidRPr="004815BE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radnju s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OLAF-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om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. </w:t>
      </w:r>
    </w:p>
    <w:p w14:paraId="4FB419BA" w14:textId="17A468B4" w:rsidR="00861CB3" w:rsidRPr="00516427" w:rsidRDefault="00861CB3" w:rsidP="00861CB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="00780D94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ropska komisija primila je k znanju pozitivne pomake </w:t>
      </w:r>
      <w:r w:rsidR="00780D94">
        <w:rPr>
          <w:rFonts w:asciiTheme="minorHAnsi" w:eastAsia="Calibri" w:hAnsiTheme="minorHAnsi" w:cstheme="minorHAnsi"/>
          <w:spacing w:val="1"/>
          <w:sz w:val="24"/>
          <w:szCs w:val="24"/>
        </w:rPr>
        <w:t>u svezi izrade</w:t>
      </w:r>
      <w:r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službene statistike.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O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d bh. vlasti 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u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ropska komisija, 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među ostal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im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,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očekuje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usvajanje novog zakona o statistici, 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prov</w:t>
      </w:r>
      <w:r w:rsidR="00780D9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edbu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poljo</w:t>
      </w:r>
      <w:r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>privrednog popisa, usvajanje</w:t>
      </w:r>
      <w:r w:rsidRPr="00125954">
        <w:rPr>
          <w:rFonts w:asciiTheme="minorHAnsi" w:hAnsiTheme="minorHAnsi" w:cstheme="minorHAnsi"/>
          <w:bCs/>
          <w:noProof/>
          <w:sz w:val="24"/>
          <w:szCs w:val="24"/>
          <w:lang w:eastAsia="en-GB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mape</w:t>
      </w:r>
      <w:r w:rsidRPr="00125954">
        <w:rPr>
          <w:rFonts w:asciiTheme="minorHAnsi" w:hAnsiTheme="minorHAnsi" w:cstheme="minorHAnsi"/>
          <w:sz w:val="24"/>
          <w:szCs w:val="24"/>
        </w:rPr>
        <w:t xml:space="preserve"> puta za pripremu popisa stanovn</w:t>
      </w:r>
      <w:r>
        <w:rPr>
          <w:rFonts w:asciiTheme="minorHAnsi" w:hAnsiTheme="minorHAnsi" w:cstheme="minorHAnsi"/>
          <w:sz w:val="24"/>
          <w:szCs w:val="24"/>
        </w:rPr>
        <w:t>ištva i stanova, te pripremu klasifikacije</w:t>
      </w:r>
      <w:r w:rsidRPr="00516427">
        <w:rPr>
          <w:rFonts w:asciiTheme="minorHAnsi" w:hAnsiTheme="minorHAnsi" w:cstheme="minorHAnsi"/>
          <w:sz w:val="24"/>
          <w:szCs w:val="24"/>
        </w:rPr>
        <w:t xml:space="preserve"> statističkih regija 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80D94">
        <w:rPr>
          <w:rFonts w:asciiTheme="minorHAnsi" w:hAnsiTheme="minorHAnsi" w:cstheme="minorHAnsi"/>
          <w:sz w:val="24"/>
          <w:szCs w:val="24"/>
        </w:rPr>
        <w:t>razini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16427">
        <w:rPr>
          <w:rFonts w:asciiTheme="minorHAnsi" w:hAnsiTheme="minorHAnsi" w:cstheme="minorHAnsi"/>
          <w:sz w:val="24"/>
          <w:szCs w:val="24"/>
        </w:rPr>
        <w:t>NUTS III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16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4BD899" w14:textId="77777777" w:rsidR="00861CB3" w:rsidRPr="00125954" w:rsidRDefault="00861CB3" w:rsidP="00861CB3">
      <w:pPr>
        <w:spacing w:line="360" w:lineRule="auto"/>
        <w:rPr>
          <w:rFonts w:asciiTheme="minorHAnsi" w:eastAsia="Calibri" w:hAnsiTheme="minorHAnsi" w:cstheme="minorHAnsi"/>
          <w:spacing w:val="1"/>
          <w:sz w:val="24"/>
          <w:szCs w:val="24"/>
        </w:rPr>
      </w:pPr>
    </w:p>
    <w:p w14:paraId="37C1523B" w14:textId="64F77A94" w:rsidR="00861CB3" w:rsidRPr="00125954" w:rsidRDefault="00861CB3" w:rsidP="00861CB3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125954">
        <w:rPr>
          <w:rFonts w:asciiTheme="minorHAnsi" w:eastAsia="Calibri" w:hAnsiTheme="minorHAnsi" w:cstheme="minorHAnsi"/>
          <w:spacing w:val="1"/>
          <w:sz w:val="24"/>
          <w:szCs w:val="24"/>
        </w:rPr>
        <w:t>D</w:t>
      </w:r>
      <w:r w:rsidRPr="00125954">
        <w:rPr>
          <w:rFonts w:asciiTheme="minorHAnsi" w:eastAsia="Calibri" w:hAnsiTheme="minorHAnsi" w:cstheme="minorHAnsi"/>
          <w:sz w:val="24"/>
          <w:szCs w:val="24"/>
        </w:rPr>
        <w:t>ire</w:t>
      </w:r>
      <w:r w:rsidRPr="00125954">
        <w:rPr>
          <w:rFonts w:asciiTheme="minorHAnsi" w:eastAsia="Calibri" w:hAnsiTheme="minorHAnsi" w:cstheme="minorHAnsi"/>
          <w:spacing w:val="-2"/>
          <w:sz w:val="24"/>
          <w:szCs w:val="24"/>
        </w:rPr>
        <w:t>k</w:t>
      </w:r>
      <w:r w:rsidRPr="00125954">
        <w:rPr>
          <w:rFonts w:asciiTheme="minorHAnsi" w:eastAsia="Calibri" w:hAnsiTheme="minorHAnsi" w:cstheme="minorHAnsi"/>
          <w:sz w:val="24"/>
          <w:szCs w:val="24"/>
        </w:rPr>
        <w:t>cija za</w:t>
      </w:r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e</w:t>
      </w:r>
      <w:r w:rsidR="00780D94">
        <w:rPr>
          <w:rFonts w:asciiTheme="minorHAnsi" w:eastAsia="Calibri" w:hAnsiTheme="minorHAnsi" w:cstheme="minorHAnsi"/>
          <w:spacing w:val="-1"/>
          <w:sz w:val="24"/>
          <w:szCs w:val="24"/>
        </w:rPr>
        <w:t>u</w:t>
      </w:r>
      <w:r w:rsidRPr="00125954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125954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125954">
        <w:rPr>
          <w:rFonts w:asciiTheme="minorHAnsi" w:eastAsia="Calibri" w:hAnsiTheme="minorHAnsi" w:cstheme="minorHAnsi"/>
          <w:sz w:val="24"/>
          <w:szCs w:val="24"/>
        </w:rPr>
        <w:t>ske</w:t>
      </w:r>
      <w:r w:rsidRPr="00125954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125954">
        <w:rPr>
          <w:rFonts w:asciiTheme="minorHAnsi" w:eastAsia="Calibri" w:hAnsiTheme="minorHAnsi" w:cstheme="minorHAnsi"/>
          <w:sz w:val="24"/>
          <w:szCs w:val="24"/>
        </w:rPr>
        <w:t>integracije</w:t>
      </w:r>
    </w:p>
    <w:p w14:paraId="0E7C6373" w14:textId="77777777" w:rsidR="00861CB3" w:rsidRPr="001467A5" w:rsidRDefault="00861CB3" w:rsidP="00861CB3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  <w:lang w:val="hr-HR"/>
        </w:rPr>
      </w:pPr>
    </w:p>
    <w:p w14:paraId="54FFE73A" w14:textId="77777777" w:rsidR="00861CB3" w:rsidRPr="001467A5" w:rsidRDefault="00861CB3" w:rsidP="00861CB3">
      <w:pPr>
        <w:spacing w:line="360" w:lineRule="auto"/>
        <w:jc w:val="right"/>
        <w:rPr>
          <w:rFonts w:asciiTheme="minorHAnsi" w:eastAsia="Calibri" w:hAnsiTheme="minorHAnsi" w:cstheme="minorHAnsi"/>
          <w:sz w:val="24"/>
          <w:szCs w:val="24"/>
          <w:lang w:val="hr-HR"/>
        </w:rPr>
      </w:pPr>
    </w:p>
    <w:p w14:paraId="78567B9A" w14:textId="77777777" w:rsidR="00861CB3" w:rsidRDefault="00861CB3" w:rsidP="00861CB3">
      <w:pPr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  <w:bookmarkStart w:id="1" w:name="_Hlk167095839"/>
    </w:p>
    <w:bookmarkEnd w:id="1"/>
    <w:p w14:paraId="28D0B37D" w14:textId="77777777" w:rsidR="00861CB3" w:rsidRPr="00FB3403" w:rsidRDefault="00861CB3" w:rsidP="00861CB3">
      <w:pPr>
        <w:jc w:val="both"/>
        <w:rPr>
          <w:rFonts w:asciiTheme="minorHAnsi" w:eastAsia="Calibri" w:hAnsiTheme="minorHAnsi" w:cstheme="minorHAnsi"/>
          <w:sz w:val="24"/>
          <w:szCs w:val="24"/>
          <w:lang w:val="hr-HR"/>
        </w:rPr>
      </w:pPr>
    </w:p>
    <w:p w14:paraId="644476C8" w14:textId="77777777" w:rsidR="004D78D3" w:rsidRDefault="004D78D3"/>
    <w:sectPr w:rsidR="004D78D3" w:rsidSect="00861CB3">
      <w:footerReference w:type="default" r:id="rId6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95A7" w14:textId="77777777" w:rsidR="00665FF5" w:rsidRDefault="00000000" w:rsidP="00665FF5">
    <w:pPr>
      <w:spacing w:line="200" w:lineRule="exact"/>
      <w:jc w:val="center"/>
    </w:pPr>
  </w:p>
  <w:p w14:paraId="51B4204D" w14:textId="77777777" w:rsidR="00665FF5" w:rsidRDefault="00000000" w:rsidP="00665FF5">
    <w:pPr>
      <w:spacing w:before="36"/>
      <w:ind w:left="580" w:right="458"/>
      <w:jc w:val="center"/>
      <w:rPr>
        <w:sz w:val="18"/>
        <w:szCs w:val="18"/>
      </w:rPr>
    </w:pPr>
    <w:r>
      <w:rPr>
        <w:spacing w:val="-2"/>
        <w:sz w:val="18"/>
        <w:szCs w:val="18"/>
      </w:rPr>
      <w:t xml:space="preserve">Đoke </w:t>
    </w:r>
    <w:proofErr w:type="spellStart"/>
    <w:r>
      <w:rPr>
        <w:spacing w:val="-2"/>
        <w:sz w:val="18"/>
        <w:szCs w:val="18"/>
      </w:rPr>
      <w:t>Mazalića</w:t>
    </w:r>
    <w:proofErr w:type="spellEnd"/>
    <w:r>
      <w:rPr>
        <w:spacing w:val="-2"/>
        <w:sz w:val="18"/>
        <w:szCs w:val="18"/>
      </w:rPr>
      <w:t xml:space="preserve"> 5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7</w:t>
    </w:r>
    <w:r>
      <w:rPr>
        <w:spacing w:val="-1"/>
        <w:sz w:val="18"/>
        <w:szCs w:val="18"/>
      </w:rPr>
      <w:t>1</w:t>
    </w:r>
    <w:r>
      <w:rPr>
        <w:spacing w:val="1"/>
        <w:sz w:val="18"/>
        <w:szCs w:val="18"/>
      </w:rPr>
      <w:t>0</w:t>
    </w:r>
    <w:r>
      <w:rPr>
        <w:spacing w:val="-1"/>
        <w:sz w:val="18"/>
        <w:szCs w:val="18"/>
      </w:rPr>
      <w:t>0</w:t>
    </w:r>
    <w:r>
      <w:rPr>
        <w:sz w:val="18"/>
        <w:szCs w:val="18"/>
      </w:rPr>
      <w:t>0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S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>a</w:t>
    </w:r>
    <w:r>
      <w:rPr>
        <w:sz w:val="18"/>
        <w:szCs w:val="18"/>
      </w:rPr>
      <w:t>je</w:t>
    </w:r>
    <w:r>
      <w:rPr>
        <w:spacing w:val="-2"/>
        <w:sz w:val="18"/>
        <w:szCs w:val="18"/>
      </w:rPr>
      <w:t>v</w:t>
    </w:r>
    <w:r>
      <w:rPr>
        <w:spacing w:val="1"/>
        <w:sz w:val="18"/>
        <w:szCs w:val="18"/>
      </w:rPr>
      <w:t>o</w:t>
    </w:r>
    <w:r>
      <w:rPr>
        <w:sz w:val="18"/>
        <w:szCs w:val="18"/>
      </w:rPr>
      <w:t>,</w:t>
    </w:r>
    <w:r>
      <w:rPr>
        <w:spacing w:val="1"/>
        <w:sz w:val="18"/>
        <w:szCs w:val="18"/>
      </w:rPr>
      <w:t xml:space="preserve">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-1"/>
        <w:sz w:val="18"/>
        <w:szCs w:val="18"/>
      </w:rPr>
      <w:t xml:space="preserve"> </w:t>
    </w:r>
    <w:r>
      <w:rPr>
        <w:spacing w:val="1"/>
        <w:sz w:val="18"/>
        <w:szCs w:val="18"/>
      </w:rPr>
      <w:t>3</w:t>
    </w:r>
    <w:r>
      <w:rPr>
        <w:sz w:val="18"/>
        <w:szCs w:val="18"/>
      </w:rPr>
      <w:t>3 255 315,</w:t>
    </w:r>
    <w:r>
      <w:rPr>
        <w:spacing w:val="-1"/>
        <w:sz w:val="18"/>
        <w:szCs w:val="18"/>
      </w:rPr>
      <w:t xml:space="preserve"> </w:t>
    </w:r>
    <w:proofErr w:type="spellStart"/>
    <w:r>
      <w:rPr>
        <w:spacing w:val="-2"/>
        <w:sz w:val="18"/>
        <w:szCs w:val="18"/>
      </w:rPr>
      <w:t>f</w:t>
    </w:r>
    <w:r>
      <w:rPr>
        <w:spacing w:val="-1"/>
        <w:sz w:val="18"/>
        <w:szCs w:val="18"/>
      </w:rPr>
      <w:t>ax</w:t>
    </w:r>
    <w:proofErr w:type="spellEnd"/>
    <w:r>
      <w:rPr>
        <w:sz w:val="18"/>
        <w:szCs w:val="18"/>
      </w:rPr>
      <w:t>: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+</w:t>
    </w:r>
    <w:r>
      <w:rPr>
        <w:spacing w:val="1"/>
        <w:sz w:val="18"/>
        <w:szCs w:val="18"/>
      </w:rPr>
      <w:t>38</w:t>
    </w:r>
    <w:r>
      <w:rPr>
        <w:sz w:val="18"/>
        <w:szCs w:val="18"/>
      </w:rPr>
      <w:t>7</w:t>
    </w:r>
    <w:r>
      <w:rPr>
        <w:spacing w:val="1"/>
        <w:sz w:val="18"/>
        <w:szCs w:val="18"/>
      </w:rPr>
      <w:t xml:space="preserve"> </w:t>
    </w:r>
    <w:r>
      <w:rPr>
        <w:spacing w:val="-1"/>
        <w:sz w:val="18"/>
        <w:szCs w:val="18"/>
      </w:rPr>
      <w:t>3</w:t>
    </w:r>
    <w:r>
      <w:rPr>
        <w:sz w:val="18"/>
        <w:szCs w:val="18"/>
      </w:rPr>
      <w:t>3</w:t>
    </w:r>
    <w:r>
      <w:rPr>
        <w:spacing w:val="1"/>
        <w:sz w:val="18"/>
        <w:szCs w:val="18"/>
      </w:rPr>
      <w:t xml:space="preserve"> 255 </w:t>
    </w:r>
    <w:r>
      <w:rPr>
        <w:spacing w:val="-1"/>
        <w:sz w:val="18"/>
        <w:szCs w:val="18"/>
      </w:rPr>
      <w:t>317</w:t>
    </w:r>
    <w:r>
      <w:rPr>
        <w:sz w:val="18"/>
        <w:szCs w:val="18"/>
      </w:rPr>
      <w:t>;</w:t>
    </w:r>
    <w:r>
      <w:rPr>
        <w:spacing w:val="-2"/>
        <w:sz w:val="18"/>
        <w:szCs w:val="18"/>
      </w:rPr>
      <w:t xml:space="preserve"> </w:t>
    </w:r>
    <w:hyperlink r:id="rId1"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/</w:t>
      </w:r>
      <w:r>
        <w:rPr>
          <w:sz w:val="18"/>
          <w:szCs w:val="18"/>
        </w:rPr>
        <w:t>/ww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</w:hyperlink>
  </w:p>
  <w:p w14:paraId="064814C0" w14:textId="77777777" w:rsidR="00665FF5" w:rsidRPr="00665FF5" w:rsidRDefault="00000000" w:rsidP="00665FF5">
    <w:pPr>
      <w:jc w:val="center"/>
      <w:rPr>
        <w:sz w:val="24"/>
        <w:szCs w:val="24"/>
        <w:lang w:val="sr-Latn-BA"/>
      </w:rPr>
    </w:pPr>
    <w:r>
      <w:rPr>
        <w:spacing w:val="-2"/>
        <w:sz w:val="18"/>
        <w:szCs w:val="18"/>
        <w:lang w:val="sr-Cyrl-BA"/>
      </w:rPr>
      <w:t>Ђоке Мазалића 5</w:t>
    </w:r>
    <w:r w:rsidRPr="00EC145B">
      <w:rPr>
        <w:sz w:val="18"/>
        <w:szCs w:val="18"/>
        <w:lang w:val="ru-RU"/>
      </w:rPr>
      <w:t>,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>1</w:t>
    </w:r>
    <w:r w:rsidRPr="00EC145B">
      <w:rPr>
        <w:spacing w:val="-1"/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>0</w:t>
    </w:r>
    <w:r w:rsidRPr="00EC145B">
      <w:rPr>
        <w:sz w:val="18"/>
        <w:szCs w:val="18"/>
        <w:lang w:val="ru-RU"/>
      </w:rPr>
      <w:t>0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С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pacing w:val="1"/>
        <w:sz w:val="18"/>
        <w:szCs w:val="18"/>
        <w:lang w:val="ru-RU"/>
      </w:rPr>
      <w:t>р</w:t>
    </w:r>
    <w:r w:rsidRPr="00EC145B">
      <w:rPr>
        <w:spacing w:val="-1"/>
        <w:sz w:val="18"/>
        <w:szCs w:val="18"/>
        <w:lang w:val="ru-RU"/>
      </w:rPr>
      <w:t>а</w:t>
    </w:r>
    <w:r w:rsidRPr="00EC145B">
      <w:rPr>
        <w:sz w:val="18"/>
        <w:szCs w:val="18"/>
        <w:lang w:val="ru-RU"/>
      </w:rPr>
      <w:t>је</w:t>
    </w:r>
    <w:r w:rsidRPr="00EC145B">
      <w:rPr>
        <w:spacing w:val="-1"/>
        <w:sz w:val="18"/>
        <w:szCs w:val="18"/>
        <w:lang w:val="ru-RU"/>
      </w:rPr>
      <w:t>в</w:t>
    </w:r>
    <w:r w:rsidRPr="00EC145B">
      <w:rPr>
        <w:spacing w:val="1"/>
        <w:sz w:val="18"/>
        <w:szCs w:val="18"/>
        <w:lang w:val="ru-RU"/>
      </w:rPr>
      <w:t>о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z w:val="18"/>
        <w:szCs w:val="18"/>
        <w:lang w:val="ru-RU"/>
      </w:rPr>
      <w:t>те</w:t>
    </w:r>
    <w:r w:rsidRPr="00EC145B">
      <w:rPr>
        <w:spacing w:val="-1"/>
        <w:sz w:val="18"/>
        <w:szCs w:val="18"/>
        <w:lang w:val="ru-RU"/>
      </w:rPr>
      <w:t>л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5"/>
        <w:sz w:val="18"/>
        <w:szCs w:val="18"/>
        <w:lang w:val="ru-RU"/>
      </w:rPr>
      <w:t xml:space="preserve"> </w:t>
    </w:r>
    <w:r>
      <w:rPr>
        <w:spacing w:val="5"/>
        <w:sz w:val="18"/>
        <w:szCs w:val="18"/>
        <w:lang w:val="sr-Cyrl-BA"/>
      </w:rPr>
      <w:t>255 315</w:t>
    </w:r>
    <w:r w:rsidRPr="00EC145B">
      <w:rPr>
        <w:sz w:val="18"/>
        <w:szCs w:val="18"/>
        <w:lang w:val="ru-RU"/>
      </w:rPr>
      <w:t>,</w:t>
    </w:r>
    <w:r w:rsidRPr="00EC145B">
      <w:rPr>
        <w:spacing w:val="-1"/>
        <w:sz w:val="18"/>
        <w:szCs w:val="18"/>
        <w:lang w:val="ru-RU"/>
      </w:rPr>
      <w:t xml:space="preserve"> </w:t>
    </w:r>
    <w:r w:rsidRPr="00EC145B">
      <w:rPr>
        <w:spacing w:val="1"/>
        <w:sz w:val="18"/>
        <w:szCs w:val="18"/>
        <w:lang w:val="ru-RU"/>
      </w:rPr>
      <w:t>ф</w:t>
    </w:r>
    <w:r w:rsidRPr="00EC145B">
      <w:rPr>
        <w:spacing w:val="-1"/>
        <w:sz w:val="18"/>
        <w:szCs w:val="18"/>
        <w:lang w:val="ru-RU"/>
      </w:rPr>
      <w:t>а</w:t>
    </w:r>
    <w:r>
      <w:rPr>
        <w:spacing w:val="-1"/>
        <w:sz w:val="18"/>
        <w:szCs w:val="18"/>
        <w:lang w:val="sr-Cyrl-BA"/>
      </w:rPr>
      <w:t>кс</w:t>
    </w:r>
    <w:r w:rsidRPr="00EC145B">
      <w:rPr>
        <w:sz w:val="18"/>
        <w:szCs w:val="18"/>
        <w:lang w:val="ru-RU"/>
      </w:rPr>
      <w:t>: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+</w:t>
    </w:r>
    <w:r w:rsidRPr="00EC145B">
      <w:rPr>
        <w:spacing w:val="1"/>
        <w:sz w:val="18"/>
        <w:szCs w:val="18"/>
        <w:lang w:val="ru-RU"/>
      </w:rPr>
      <w:t>3</w:t>
    </w:r>
    <w:r w:rsidRPr="00EC145B">
      <w:rPr>
        <w:spacing w:val="-1"/>
        <w:sz w:val="18"/>
        <w:szCs w:val="18"/>
        <w:lang w:val="ru-RU"/>
      </w:rPr>
      <w:t>8</w:t>
    </w:r>
    <w:r w:rsidRPr="00EC145B">
      <w:rPr>
        <w:sz w:val="18"/>
        <w:szCs w:val="18"/>
        <w:lang w:val="ru-RU"/>
      </w:rPr>
      <w:t>7</w:t>
    </w:r>
    <w:r w:rsidRPr="00EC145B">
      <w:rPr>
        <w:spacing w:val="1"/>
        <w:sz w:val="18"/>
        <w:szCs w:val="18"/>
        <w:lang w:val="ru-RU"/>
      </w:rPr>
      <w:t xml:space="preserve"> </w:t>
    </w:r>
    <w:r w:rsidRPr="00EC145B">
      <w:rPr>
        <w:spacing w:val="-1"/>
        <w:sz w:val="18"/>
        <w:szCs w:val="18"/>
        <w:lang w:val="ru-RU"/>
      </w:rPr>
      <w:t>3</w:t>
    </w:r>
    <w:r w:rsidRPr="00EC145B">
      <w:rPr>
        <w:sz w:val="18"/>
        <w:szCs w:val="18"/>
        <w:lang w:val="ru-RU"/>
      </w:rPr>
      <w:t>3</w:t>
    </w:r>
    <w:r w:rsidRPr="00EC145B">
      <w:rPr>
        <w:spacing w:val="1"/>
        <w:sz w:val="18"/>
        <w:szCs w:val="18"/>
        <w:lang w:val="ru-RU"/>
      </w:rPr>
      <w:t xml:space="preserve"> 2</w:t>
    </w:r>
    <w:r>
      <w:rPr>
        <w:spacing w:val="1"/>
        <w:sz w:val="18"/>
        <w:szCs w:val="18"/>
        <w:lang w:val="sr-Cyrl-BA"/>
      </w:rPr>
      <w:t>55 317</w:t>
    </w:r>
    <w:r w:rsidRPr="00EC145B">
      <w:rPr>
        <w:sz w:val="18"/>
        <w:szCs w:val="18"/>
        <w:lang w:val="ru-RU"/>
      </w:rPr>
      <w:t>;</w:t>
    </w:r>
    <w:r w:rsidRPr="00EC145B">
      <w:rPr>
        <w:spacing w:val="1"/>
        <w:sz w:val="18"/>
        <w:szCs w:val="18"/>
        <w:lang w:val="ru-RU"/>
      </w:rPr>
      <w:t xml:space="preserve"> </w:t>
    </w:r>
    <w:hyperlink r:id="rId2"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p</w:t>
      </w:r>
      <w:r w:rsidRPr="00EC145B">
        <w:rPr>
          <w:sz w:val="18"/>
          <w:szCs w:val="18"/>
          <w:lang w:val="ru-RU"/>
        </w:rPr>
        <w:t>:</w:t>
      </w:r>
      <w:r w:rsidRPr="00EC145B">
        <w:rPr>
          <w:spacing w:val="1"/>
          <w:sz w:val="18"/>
          <w:szCs w:val="18"/>
          <w:lang w:val="ru-RU"/>
        </w:rPr>
        <w:t>/</w:t>
      </w:r>
      <w:r w:rsidRPr="00EC145B">
        <w:rPr>
          <w:sz w:val="18"/>
          <w:szCs w:val="18"/>
          <w:lang w:val="ru-RU"/>
        </w:rPr>
        <w:t>/</w:t>
      </w:r>
      <w:r>
        <w:rPr>
          <w:spacing w:val="-2"/>
          <w:sz w:val="18"/>
          <w:szCs w:val="18"/>
        </w:rPr>
        <w:t>w</w:t>
      </w:r>
      <w:r>
        <w:rPr>
          <w:sz w:val="18"/>
          <w:szCs w:val="18"/>
        </w:rPr>
        <w:t>w</w:t>
      </w:r>
      <w:r>
        <w:rPr>
          <w:spacing w:val="-3"/>
          <w:sz w:val="18"/>
          <w:szCs w:val="18"/>
        </w:rPr>
        <w:t>w</w:t>
      </w:r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proofErr w:type="spellEnd"/>
      <w:r w:rsidRPr="00EC145B">
        <w:rPr>
          <w:spacing w:val="1"/>
          <w:sz w:val="18"/>
          <w:szCs w:val="18"/>
          <w:lang w:val="ru-RU"/>
        </w:rPr>
        <w:t>.</w:t>
      </w:r>
      <w:proofErr w:type="spellStart"/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proofErr w:type="spellEnd"/>
      <w:r w:rsidRPr="00EC145B">
        <w:rPr>
          <w:sz w:val="18"/>
          <w:szCs w:val="18"/>
          <w:lang w:val="ru-RU"/>
        </w:rPr>
        <w:t>.</w:t>
      </w:r>
      <w:proofErr w:type="spellStart"/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a</w:t>
      </w:r>
      <w:proofErr w:type="spellEnd"/>
    </w:hyperlink>
  </w:p>
  <w:p w14:paraId="1650B702" w14:textId="77777777" w:rsidR="00665FF5" w:rsidRPr="00547C5F" w:rsidRDefault="00000000">
    <w:pPr>
      <w:pStyle w:val="Podnoje"/>
      <w:rPr>
        <w:lang w:val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B3"/>
    <w:rsid w:val="000009E3"/>
    <w:rsid w:val="00005B3E"/>
    <w:rsid w:val="00005FF6"/>
    <w:rsid w:val="0000737A"/>
    <w:rsid w:val="000122EE"/>
    <w:rsid w:val="000123A8"/>
    <w:rsid w:val="00020AFD"/>
    <w:rsid w:val="000215EA"/>
    <w:rsid w:val="00026521"/>
    <w:rsid w:val="00032CEB"/>
    <w:rsid w:val="00040584"/>
    <w:rsid w:val="00040B16"/>
    <w:rsid w:val="00046067"/>
    <w:rsid w:val="00050D92"/>
    <w:rsid w:val="000513CC"/>
    <w:rsid w:val="0005361A"/>
    <w:rsid w:val="00054524"/>
    <w:rsid w:val="00057E44"/>
    <w:rsid w:val="00062592"/>
    <w:rsid w:val="0007481D"/>
    <w:rsid w:val="0008144F"/>
    <w:rsid w:val="00085899"/>
    <w:rsid w:val="0009332C"/>
    <w:rsid w:val="000A28D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007B6"/>
    <w:rsid w:val="0010508B"/>
    <w:rsid w:val="00111F23"/>
    <w:rsid w:val="00113EF0"/>
    <w:rsid w:val="00116346"/>
    <w:rsid w:val="001240B5"/>
    <w:rsid w:val="001244A1"/>
    <w:rsid w:val="00127DB1"/>
    <w:rsid w:val="00130322"/>
    <w:rsid w:val="0013113C"/>
    <w:rsid w:val="0013270E"/>
    <w:rsid w:val="00134AE5"/>
    <w:rsid w:val="00140F9D"/>
    <w:rsid w:val="0014616E"/>
    <w:rsid w:val="00151A8A"/>
    <w:rsid w:val="001522E7"/>
    <w:rsid w:val="0015478B"/>
    <w:rsid w:val="0015488F"/>
    <w:rsid w:val="00156CF3"/>
    <w:rsid w:val="0016061F"/>
    <w:rsid w:val="00162207"/>
    <w:rsid w:val="00170DF1"/>
    <w:rsid w:val="001738A1"/>
    <w:rsid w:val="001858F3"/>
    <w:rsid w:val="00186B9A"/>
    <w:rsid w:val="00196129"/>
    <w:rsid w:val="001A3514"/>
    <w:rsid w:val="001B4BA9"/>
    <w:rsid w:val="001B5B13"/>
    <w:rsid w:val="001C3AC6"/>
    <w:rsid w:val="001C5A7F"/>
    <w:rsid w:val="001D52A6"/>
    <w:rsid w:val="001E0C21"/>
    <w:rsid w:val="001E1254"/>
    <w:rsid w:val="001E3B11"/>
    <w:rsid w:val="001E7002"/>
    <w:rsid w:val="001F08CB"/>
    <w:rsid w:val="001F45E9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DF"/>
    <w:rsid w:val="002448FC"/>
    <w:rsid w:val="00247BFA"/>
    <w:rsid w:val="0025144E"/>
    <w:rsid w:val="00252855"/>
    <w:rsid w:val="002649EB"/>
    <w:rsid w:val="00265610"/>
    <w:rsid w:val="00270285"/>
    <w:rsid w:val="002734B4"/>
    <w:rsid w:val="0027726F"/>
    <w:rsid w:val="0028022C"/>
    <w:rsid w:val="002951C7"/>
    <w:rsid w:val="002956C7"/>
    <w:rsid w:val="002A1768"/>
    <w:rsid w:val="002A385A"/>
    <w:rsid w:val="002A6943"/>
    <w:rsid w:val="002B3E6A"/>
    <w:rsid w:val="002D0D1E"/>
    <w:rsid w:val="002E1CBD"/>
    <w:rsid w:val="002E70E7"/>
    <w:rsid w:val="002F1BD4"/>
    <w:rsid w:val="002F3D35"/>
    <w:rsid w:val="002F3FDE"/>
    <w:rsid w:val="002F445D"/>
    <w:rsid w:val="00302F24"/>
    <w:rsid w:val="00305677"/>
    <w:rsid w:val="00306AF7"/>
    <w:rsid w:val="00310C70"/>
    <w:rsid w:val="00316150"/>
    <w:rsid w:val="00317EA9"/>
    <w:rsid w:val="00320495"/>
    <w:rsid w:val="00331664"/>
    <w:rsid w:val="00334A37"/>
    <w:rsid w:val="003352F1"/>
    <w:rsid w:val="00337F30"/>
    <w:rsid w:val="003421A4"/>
    <w:rsid w:val="0035244B"/>
    <w:rsid w:val="00353220"/>
    <w:rsid w:val="0035359E"/>
    <w:rsid w:val="00354EF4"/>
    <w:rsid w:val="00356C07"/>
    <w:rsid w:val="003611A0"/>
    <w:rsid w:val="003620A2"/>
    <w:rsid w:val="00363F72"/>
    <w:rsid w:val="0036566D"/>
    <w:rsid w:val="003663A9"/>
    <w:rsid w:val="00371A52"/>
    <w:rsid w:val="003761B9"/>
    <w:rsid w:val="00382156"/>
    <w:rsid w:val="00382197"/>
    <w:rsid w:val="003829BB"/>
    <w:rsid w:val="003A1C4E"/>
    <w:rsid w:val="003B7A48"/>
    <w:rsid w:val="003C03C8"/>
    <w:rsid w:val="003C406A"/>
    <w:rsid w:val="003C5568"/>
    <w:rsid w:val="003C60A2"/>
    <w:rsid w:val="003C7A9D"/>
    <w:rsid w:val="003D3AB4"/>
    <w:rsid w:val="003E250B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0A1F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0A42"/>
    <w:rsid w:val="0046425C"/>
    <w:rsid w:val="00464AED"/>
    <w:rsid w:val="00464FA8"/>
    <w:rsid w:val="0047341F"/>
    <w:rsid w:val="004802FB"/>
    <w:rsid w:val="004804A2"/>
    <w:rsid w:val="00484FC3"/>
    <w:rsid w:val="00492D09"/>
    <w:rsid w:val="00493724"/>
    <w:rsid w:val="00496826"/>
    <w:rsid w:val="00496DB2"/>
    <w:rsid w:val="00497D23"/>
    <w:rsid w:val="004A0894"/>
    <w:rsid w:val="004A4ED6"/>
    <w:rsid w:val="004A5B0C"/>
    <w:rsid w:val="004A63B9"/>
    <w:rsid w:val="004B34F9"/>
    <w:rsid w:val="004B4835"/>
    <w:rsid w:val="004B5481"/>
    <w:rsid w:val="004B590B"/>
    <w:rsid w:val="004C20C5"/>
    <w:rsid w:val="004D036A"/>
    <w:rsid w:val="004D0509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07A13"/>
    <w:rsid w:val="005101B3"/>
    <w:rsid w:val="00516E98"/>
    <w:rsid w:val="00523B4D"/>
    <w:rsid w:val="00525FDD"/>
    <w:rsid w:val="005315B0"/>
    <w:rsid w:val="00536D4A"/>
    <w:rsid w:val="005470D2"/>
    <w:rsid w:val="00551E28"/>
    <w:rsid w:val="00552067"/>
    <w:rsid w:val="0055262E"/>
    <w:rsid w:val="005527FC"/>
    <w:rsid w:val="00554E45"/>
    <w:rsid w:val="0058041C"/>
    <w:rsid w:val="0058415E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C7798"/>
    <w:rsid w:val="005F2616"/>
    <w:rsid w:val="005F2907"/>
    <w:rsid w:val="005F3062"/>
    <w:rsid w:val="005F33A6"/>
    <w:rsid w:val="005F62EA"/>
    <w:rsid w:val="00600D96"/>
    <w:rsid w:val="00603676"/>
    <w:rsid w:val="00607B1A"/>
    <w:rsid w:val="00611D50"/>
    <w:rsid w:val="00612CA4"/>
    <w:rsid w:val="00612DF4"/>
    <w:rsid w:val="006216AC"/>
    <w:rsid w:val="00627EC6"/>
    <w:rsid w:val="0063367A"/>
    <w:rsid w:val="0063516C"/>
    <w:rsid w:val="006413CA"/>
    <w:rsid w:val="00641F0F"/>
    <w:rsid w:val="00644850"/>
    <w:rsid w:val="0064643E"/>
    <w:rsid w:val="00651652"/>
    <w:rsid w:val="006528E2"/>
    <w:rsid w:val="00655D49"/>
    <w:rsid w:val="00662C93"/>
    <w:rsid w:val="00665586"/>
    <w:rsid w:val="00666876"/>
    <w:rsid w:val="00667388"/>
    <w:rsid w:val="0067112A"/>
    <w:rsid w:val="0067113C"/>
    <w:rsid w:val="006871BF"/>
    <w:rsid w:val="006874C3"/>
    <w:rsid w:val="006875AC"/>
    <w:rsid w:val="00687FA9"/>
    <w:rsid w:val="0069198E"/>
    <w:rsid w:val="006959FA"/>
    <w:rsid w:val="006A2EAC"/>
    <w:rsid w:val="006A454E"/>
    <w:rsid w:val="006B48A6"/>
    <w:rsid w:val="006B7D2F"/>
    <w:rsid w:val="006C1E53"/>
    <w:rsid w:val="006C5607"/>
    <w:rsid w:val="006D17E4"/>
    <w:rsid w:val="006D40E9"/>
    <w:rsid w:val="006D7D74"/>
    <w:rsid w:val="006E7718"/>
    <w:rsid w:val="006F79AD"/>
    <w:rsid w:val="0070157C"/>
    <w:rsid w:val="007024D9"/>
    <w:rsid w:val="00705A2A"/>
    <w:rsid w:val="0070783B"/>
    <w:rsid w:val="00711F10"/>
    <w:rsid w:val="00713214"/>
    <w:rsid w:val="00713A01"/>
    <w:rsid w:val="007232EB"/>
    <w:rsid w:val="00727E81"/>
    <w:rsid w:val="00737439"/>
    <w:rsid w:val="0074115A"/>
    <w:rsid w:val="00744D1E"/>
    <w:rsid w:val="007451BA"/>
    <w:rsid w:val="00745CC5"/>
    <w:rsid w:val="007466B8"/>
    <w:rsid w:val="00750114"/>
    <w:rsid w:val="00752134"/>
    <w:rsid w:val="00752943"/>
    <w:rsid w:val="00754EC1"/>
    <w:rsid w:val="00767A40"/>
    <w:rsid w:val="00771896"/>
    <w:rsid w:val="00777E77"/>
    <w:rsid w:val="00780D94"/>
    <w:rsid w:val="00794706"/>
    <w:rsid w:val="00797130"/>
    <w:rsid w:val="007A21ED"/>
    <w:rsid w:val="007A6D6B"/>
    <w:rsid w:val="007B3DAF"/>
    <w:rsid w:val="007B6772"/>
    <w:rsid w:val="007C00B1"/>
    <w:rsid w:val="007C47FE"/>
    <w:rsid w:val="007C51F8"/>
    <w:rsid w:val="007C6D75"/>
    <w:rsid w:val="007C785E"/>
    <w:rsid w:val="007D0B1B"/>
    <w:rsid w:val="007D2371"/>
    <w:rsid w:val="007D2379"/>
    <w:rsid w:val="007E51D5"/>
    <w:rsid w:val="007E7CAE"/>
    <w:rsid w:val="007F2FD9"/>
    <w:rsid w:val="007F5ED4"/>
    <w:rsid w:val="007F5F9B"/>
    <w:rsid w:val="00802E34"/>
    <w:rsid w:val="0080396E"/>
    <w:rsid w:val="00805715"/>
    <w:rsid w:val="00805A40"/>
    <w:rsid w:val="00812AB1"/>
    <w:rsid w:val="00824ADF"/>
    <w:rsid w:val="0083097F"/>
    <w:rsid w:val="008407EF"/>
    <w:rsid w:val="00844F10"/>
    <w:rsid w:val="0084655F"/>
    <w:rsid w:val="00861CB3"/>
    <w:rsid w:val="0086585B"/>
    <w:rsid w:val="00870557"/>
    <w:rsid w:val="008753F1"/>
    <w:rsid w:val="00876F3A"/>
    <w:rsid w:val="0088422D"/>
    <w:rsid w:val="00884538"/>
    <w:rsid w:val="00887C33"/>
    <w:rsid w:val="00892F4B"/>
    <w:rsid w:val="008A2732"/>
    <w:rsid w:val="008A79E2"/>
    <w:rsid w:val="008B0B0D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643BE"/>
    <w:rsid w:val="00971334"/>
    <w:rsid w:val="00973002"/>
    <w:rsid w:val="009738E6"/>
    <w:rsid w:val="00980254"/>
    <w:rsid w:val="00983D88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186"/>
    <w:rsid w:val="009F22FF"/>
    <w:rsid w:val="009F453A"/>
    <w:rsid w:val="00A0187F"/>
    <w:rsid w:val="00A12698"/>
    <w:rsid w:val="00A20F78"/>
    <w:rsid w:val="00A22518"/>
    <w:rsid w:val="00A23BAC"/>
    <w:rsid w:val="00A25581"/>
    <w:rsid w:val="00A26564"/>
    <w:rsid w:val="00A27A27"/>
    <w:rsid w:val="00A30325"/>
    <w:rsid w:val="00A35D1C"/>
    <w:rsid w:val="00A46C91"/>
    <w:rsid w:val="00A56371"/>
    <w:rsid w:val="00A61517"/>
    <w:rsid w:val="00A6728B"/>
    <w:rsid w:val="00A7123F"/>
    <w:rsid w:val="00A83621"/>
    <w:rsid w:val="00A84A63"/>
    <w:rsid w:val="00A86DC0"/>
    <w:rsid w:val="00A9444F"/>
    <w:rsid w:val="00AA0A17"/>
    <w:rsid w:val="00AB116E"/>
    <w:rsid w:val="00AB2815"/>
    <w:rsid w:val="00AB4C62"/>
    <w:rsid w:val="00AB5C92"/>
    <w:rsid w:val="00AC040D"/>
    <w:rsid w:val="00AC512A"/>
    <w:rsid w:val="00AC532C"/>
    <w:rsid w:val="00AD32A1"/>
    <w:rsid w:val="00AD5D55"/>
    <w:rsid w:val="00AD7F23"/>
    <w:rsid w:val="00AE158D"/>
    <w:rsid w:val="00AF1092"/>
    <w:rsid w:val="00AF3A6E"/>
    <w:rsid w:val="00AF3A84"/>
    <w:rsid w:val="00AF5615"/>
    <w:rsid w:val="00B0175C"/>
    <w:rsid w:val="00B1472A"/>
    <w:rsid w:val="00B23951"/>
    <w:rsid w:val="00B242BF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362"/>
    <w:rsid w:val="00B72B7D"/>
    <w:rsid w:val="00B75288"/>
    <w:rsid w:val="00B760F4"/>
    <w:rsid w:val="00B77605"/>
    <w:rsid w:val="00B8149D"/>
    <w:rsid w:val="00B864ED"/>
    <w:rsid w:val="00B86590"/>
    <w:rsid w:val="00B87189"/>
    <w:rsid w:val="00B93B9F"/>
    <w:rsid w:val="00BA3EEB"/>
    <w:rsid w:val="00BA50B3"/>
    <w:rsid w:val="00BA657E"/>
    <w:rsid w:val="00BB4EE7"/>
    <w:rsid w:val="00BB694D"/>
    <w:rsid w:val="00BC0BA9"/>
    <w:rsid w:val="00BC60E2"/>
    <w:rsid w:val="00BD1487"/>
    <w:rsid w:val="00BD31A0"/>
    <w:rsid w:val="00BD434B"/>
    <w:rsid w:val="00BD53B2"/>
    <w:rsid w:val="00BD53F5"/>
    <w:rsid w:val="00BD71D1"/>
    <w:rsid w:val="00BE1369"/>
    <w:rsid w:val="00BE306B"/>
    <w:rsid w:val="00BE30AE"/>
    <w:rsid w:val="00BE34F5"/>
    <w:rsid w:val="00BE7701"/>
    <w:rsid w:val="00BE7D83"/>
    <w:rsid w:val="00BF0B8C"/>
    <w:rsid w:val="00BF15F8"/>
    <w:rsid w:val="00BF75FB"/>
    <w:rsid w:val="00C00BF2"/>
    <w:rsid w:val="00C040C3"/>
    <w:rsid w:val="00C06E86"/>
    <w:rsid w:val="00C076B0"/>
    <w:rsid w:val="00C15712"/>
    <w:rsid w:val="00C1609D"/>
    <w:rsid w:val="00C16E6A"/>
    <w:rsid w:val="00C23B78"/>
    <w:rsid w:val="00C23DB6"/>
    <w:rsid w:val="00C247AF"/>
    <w:rsid w:val="00C2640F"/>
    <w:rsid w:val="00C30F7E"/>
    <w:rsid w:val="00C31CEC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0830"/>
    <w:rsid w:val="00CA6520"/>
    <w:rsid w:val="00CB72B9"/>
    <w:rsid w:val="00CB76D6"/>
    <w:rsid w:val="00CB7AE5"/>
    <w:rsid w:val="00CC166B"/>
    <w:rsid w:val="00CC2D81"/>
    <w:rsid w:val="00CC51D7"/>
    <w:rsid w:val="00CC7FF7"/>
    <w:rsid w:val="00CD14B1"/>
    <w:rsid w:val="00CD42F4"/>
    <w:rsid w:val="00CD4F48"/>
    <w:rsid w:val="00CE007B"/>
    <w:rsid w:val="00CE3DE9"/>
    <w:rsid w:val="00CE404D"/>
    <w:rsid w:val="00CE436C"/>
    <w:rsid w:val="00CE4688"/>
    <w:rsid w:val="00CE4919"/>
    <w:rsid w:val="00CF0E0D"/>
    <w:rsid w:val="00CF1119"/>
    <w:rsid w:val="00CF53E9"/>
    <w:rsid w:val="00CF6632"/>
    <w:rsid w:val="00D00940"/>
    <w:rsid w:val="00D0196C"/>
    <w:rsid w:val="00D103C9"/>
    <w:rsid w:val="00D10A96"/>
    <w:rsid w:val="00D12AB3"/>
    <w:rsid w:val="00D143B6"/>
    <w:rsid w:val="00D15949"/>
    <w:rsid w:val="00D15C7A"/>
    <w:rsid w:val="00D22BFE"/>
    <w:rsid w:val="00D22C49"/>
    <w:rsid w:val="00D4129C"/>
    <w:rsid w:val="00D41863"/>
    <w:rsid w:val="00D463BD"/>
    <w:rsid w:val="00D474E4"/>
    <w:rsid w:val="00D511FD"/>
    <w:rsid w:val="00D5732F"/>
    <w:rsid w:val="00D649DD"/>
    <w:rsid w:val="00D668C3"/>
    <w:rsid w:val="00D676D2"/>
    <w:rsid w:val="00D677D3"/>
    <w:rsid w:val="00D737C8"/>
    <w:rsid w:val="00D838D1"/>
    <w:rsid w:val="00D86859"/>
    <w:rsid w:val="00D872BE"/>
    <w:rsid w:val="00D908F2"/>
    <w:rsid w:val="00D93E8B"/>
    <w:rsid w:val="00DA5DFA"/>
    <w:rsid w:val="00DB168C"/>
    <w:rsid w:val="00DC162C"/>
    <w:rsid w:val="00DC7D4A"/>
    <w:rsid w:val="00DE1023"/>
    <w:rsid w:val="00DE2796"/>
    <w:rsid w:val="00DE5693"/>
    <w:rsid w:val="00DE754B"/>
    <w:rsid w:val="00DF54DB"/>
    <w:rsid w:val="00E15492"/>
    <w:rsid w:val="00E15683"/>
    <w:rsid w:val="00E21F37"/>
    <w:rsid w:val="00E232CE"/>
    <w:rsid w:val="00E26852"/>
    <w:rsid w:val="00E27BE4"/>
    <w:rsid w:val="00E35EF5"/>
    <w:rsid w:val="00E37D3B"/>
    <w:rsid w:val="00E5244E"/>
    <w:rsid w:val="00E567AC"/>
    <w:rsid w:val="00E646ED"/>
    <w:rsid w:val="00E70EB1"/>
    <w:rsid w:val="00E7222C"/>
    <w:rsid w:val="00E7274B"/>
    <w:rsid w:val="00E764AD"/>
    <w:rsid w:val="00E76576"/>
    <w:rsid w:val="00E77D7D"/>
    <w:rsid w:val="00E917C0"/>
    <w:rsid w:val="00EA294F"/>
    <w:rsid w:val="00EA3106"/>
    <w:rsid w:val="00EA611E"/>
    <w:rsid w:val="00EA6B69"/>
    <w:rsid w:val="00EA78BA"/>
    <w:rsid w:val="00EB07F2"/>
    <w:rsid w:val="00EB271D"/>
    <w:rsid w:val="00EB449A"/>
    <w:rsid w:val="00EB48BD"/>
    <w:rsid w:val="00EC3B7A"/>
    <w:rsid w:val="00ED386A"/>
    <w:rsid w:val="00ED5D0E"/>
    <w:rsid w:val="00EE38A3"/>
    <w:rsid w:val="00EE490D"/>
    <w:rsid w:val="00EE659E"/>
    <w:rsid w:val="00EF04E6"/>
    <w:rsid w:val="00EF1651"/>
    <w:rsid w:val="00EF2F4C"/>
    <w:rsid w:val="00EF62C2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477AC"/>
    <w:rsid w:val="00F5547B"/>
    <w:rsid w:val="00F6425D"/>
    <w:rsid w:val="00F64706"/>
    <w:rsid w:val="00F65CEF"/>
    <w:rsid w:val="00F739EC"/>
    <w:rsid w:val="00F8014E"/>
    <w:rsid w:val="00F804E8"/>
    <w:rsid w:val="00F91093"/>
    <w:rsid w:val="00F930C3"/>
    <w:rsid w:val="00F94850"/>
    <w:rsid w:val="00FA5930"/>
    <w:rsid w:val="00FA5BCD"/>
    <w:rsid w:val="00FB3C0B"/>
    <w:rsid w:val="00FB3D2C"/>
    <w:rsid w:val="00FB46C4"/>
    <w:rsid w:val="00FB60CC"/>
    <w:rsid w:val="00FB6B32"/>
    <w:rsid w:val="00FC1B17"/>
    <w:rsid w:val="00FC2266"/>
    <w:rsid w:val="00FC5110"/>
    <w:rsid w:val="00FD270D"/>
    <w:rsid w:val="00FD5009"/>
    <w:rsid w:val="00FD5D4D"/>
    <w:rsid w:val="00FF3A2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5C07"/>
  <w15:chartTrackingRefBased/>
  <w15:docId w15:val="{C38FDC0B-B644-477E-803A-59BD0653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861C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uvlaenje">
    <w:name w:val="Normal Indent"/>
    <w:basedOn w:val="Normalno"/>
    <w:rsid w:val="00861CB3"/>
    <w:pPr>
      <w:ind w:left="720"/>
    </w:pPr>
    <w:rPr>
      <w:sz w:val="24"/>
      <w:szCs w:val="24"/>
      <w:lang w:val="hr-HR" w:eastAsia="hr-HR"/>
    </w:rPr>
  </w:style>
  <w:style w:type="paragraph" w:styleId="Podnoje">
    <w:name w:val="footer"/>
    <w:basedOn w:val="Normalno"/>
    <w:link w:val="PodnojeZnak"/>
    <w:uiPriority w:val="99"/>
    <w:unhideWhenUsed/>
    <w:rsid w:val="00861CB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861CB3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2</cp:revision>
  <dcterms:created xsi:type="dcterms:W3CDTF">2025-05-26T06:28:00Z</dcterms:created>
  <dcterms:modified xsi:type="dcterms:W3CDTF">2025-05-26T07:24:00Z</dcterms:modified>
</cp:coreProperties>
</file>