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1"/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2163"/>
        <w:gridCol w:w="10787"/>
      </w:tblGrid>
      <w:tr w:rsidR="00BE7381" w:rsidRPr="00BE7381" w14:paraId="2C63F1E1" w14:textId="77777777" w:rsidTr="00BE7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/>
          </w:tcPr>
          <w:p w14:paraId="53EFBEE6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Naziv obuke</w:t>
            </w:r>
          </w:p>
        </w:tc>
        <w:tc>
          <w:tcPr>
            <w:tcW w:w="11605" w:type="dxa"/>
            <w:shd w:val="clear" w:color="auto" w:fill="F2F2F2"/>
          </w:tcPr>
          <w:p w14:paraId="2F7B687B" w14:textId="6D0F8FD2" w:rsidR="00BE7381" w:rsidRPr="00BE7381" w:rsidRDefault="00BE7381" w:rsidP="00BE7381">
            <w:pPr>
              <w:numPr>
                <w:ilvl w:val="0"/>
                <w:numId w:val="9"/>
              </w:num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color w:val="000000"/>
                <w:sz w:val="28"/>
                <w:szCs w:val="28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8"/>
                <w:szCs w:val="28"/>
                <w:lang w:val="hr-HR"/>
              </w:rPr>
              <w:t>PRAVO E</w:t>
            </w:r>
            <w:r w:rsidR="00C85A9E">
              <w:rPr>
                <w:rFonts w:ascii="Cambria" w:eastAsia="Calibri" w:hAnsi="Cambria" w:cs="Times New Roman"/>
                <w:color w:val="000000"/>
                <w:sz w:val="28"/>
                <w:szCs w:val="28"/>
                <w:lang w:val="hr-HR"/>
              </w:rPr>
              <w:t>V</w:t>
            </w:r>
            <w:r w:rsidRPr="00BE7381">
              <w:rPr>
                <w:rFonts w:ascii="Cambria" w:eastAsia="Calibri" w:hAnsi="Cambria" w:cs="Times New Roman"/>
                <w:color w:val="000000"/>
                <w:sz w:val="28"/>
                <w:szCs w:val="28"/>
                <w:lang w:val="hr-HR"/>
              </w:rPr>
              <w:t>ROPSKE UNIJE</w:t>
            </w:r>
          </w:p>
        </w:tc>
      </w:tr>
      <w:tr w:rsidR="00BE7381" w:rsidRPr="00BE7381" w14:paraId="26ABD9A5" w14:textId="77777777" w:rsidTr="00BE7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/>
          </w:tcPr>
          <w:p w14:paraId="11430B40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</w:p>
          <w:p w14:paraId="541346CD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</w:p>
          <w:p w14:paraId="02901B4A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</w:p>
          <w:p w14:paraId="6D73A02D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</w:p>
          <w:p w14:paraId="07D4C455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</w:p>
          <w:p w14:paraId="087C9D2A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</w:p>
          <w:p w14:paraId="2FA61526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Sadržaj obuke</w:t>
            </w:r>
          </w:p>
        </w:tc>
        <w:tc>
          <w:tcPr>
            <w:tcW w:w="11605" w:type="dxa"/>
            <w:shd w:val="clear" w:color="auto" w:fill="F2F2F2"/>
          </w:tcPr>
          <w:p w14:paraId="118611D3" w14:textId="6296D5E2" w:rsidR="00BE7381" w:rsidRPr="00BE7381" w:rsidRDefault="00BE7381" w:rsidP="00BE7381">
            <w:pPr>
              <w:numPr>
                <w:ilvl w:val="0"/>
                <w:numId w:val="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  <w:t>O E</w:t>
            </w:r>
            <w:r w:rsidR="00C85A9E"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  <w:t>v</w:t>
            </w:r>
            <w:r w:rsidRPr="00BE7381"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  <w:t>ropskoj uniji (EU)</w:t>
            </w:r>
          </w:p>
          <w:p w14:paraId="5F6675E9" w14:textId="77777777" w:rsidR="00BE7381" w:rsidRPr="00BE7381" w:rsidRDefault="00BE7381" w:rsidP="00BE7381">
            <w:pPr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Pravna priroda EU </w:t>
            </w:r>
          </w:p>
          <w:p w14:paraId="78C65690" w14:textId="31EC8B74" w:rsidR="00BE7381" w:rsidRPr="00BE7381" w:rsidRDefault="00BE7381" w:rsidP="00BE7381">
            <w:pPr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Kriteriji za pristupanje EU (iz Ugovora, Kopenha</w:t>
            </w:r>
            <w:r w:rsidR="00933B06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ški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 i Madridski kriteriji)</w:t>
            </w:r>
          </w:p>
          <w:p w14:paraId="6BF3DA3B" w14:textId="77777777" w:rsidR="00BE7381" w:rsidRPr="00BE7381" w:rsidRDefault="00BE7381" w:rsidP="00BE7381">
            <w:pPr>
              <w:numPr>
                <w:ilvl w:val="0"/>
                <w:numId w:val="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  <w:t>Izvori prava EU</w:t>
            </w:r>
          </w:p>
          <w:p w14:paraId="0507F675" w14:textId="77777777" w:rsidR="00BE7381" w:rsidRPr="00BE7381" w:rsidRDefault="00BE7381" w:rsidP="00BE7381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Primarni izvori</w:t>
            </w:r>
          </w:p>
          <w:p w14:paraId="1D86A512" w14:textId="77777777" w:rsidR="00BE7381" w:rsidRPr="00BE7381" w:rsidRDefault="00BE7381" w:rsidP="00BE7381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Osnovna načela prava EU</w:t>
            </w:r>
          </w:p>
          <w:p w14:paraId="517770B7" w14:textId="77777777" w:rsidR="00BE7381" w:rsidRPr="00BE7381" w:rsidRDefault="00BE7381" w:rsidP="00BE7381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Sekundarni izvori (zakonodavni i nezakonodavni; vrste, struktura i karakteristike)</w:t>
            </w:r>
          </w:p>
          <w:p w14:paraId="6E2BF9C4" w14:textId="77777777" w:rsidR="00BE7381" w:rsidRPr="00BE7381" w:rsidRDefault="00BE7381" w:rsidP="00BE7381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Hijerarhija pravnih akata EU</w:t>
            </w:r>
          </w:p>
          <w:p w14:paraId="2819B384" w14:textId="77777777" w:rsidR="00BE7381" w:rsidRPr="00BE7381" w:rsidRDefault="00BE7381" w:rsidP="00BE7381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Uloga i značaj presuda Suda Evropske unije </w:t>
            </w:r>
          </w:p>
          <w:p w14:paraId="7D088439" w14:textId="04B310E6" w:rsidR="00BE7381" w:rsidRPr="00BE7381" w:rsidRDefault="00BE7381" w:rsidP="00BE7381">
            <w:pPr>
              <w:numPr>
                <w:ilvl w:val="0"/>
                <w:numId w:val="7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  <w:t>„Institucionalni trougao“ (E</w:t>
            </w:r>
            <w:r w:rsidR="00C85A9E"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  <w:t>v</w:t>
            </w:r>
            <w:r w:rsidRPr="00BE7381"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  <w:t>ropski parlament – Vijeće – E</w:t>
            </w:r>
            <w:r w:rsidR="00C85A9E"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  <w:t>v</w:t>
            </w:r>
            <w:r w:rsidRPr="00BE7381"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  <w:t>ropska komisija)</w:t>
            </w:r>
          </w:p>
          <w:p w14:paraId="4AC58487" w14:textId="77777777" w:rsidR="00BE7381" w:rsidRPr="00BE7381" w:rsidRDefault="00BE7381" w:rsidP="00BE7381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Ukratko o institucijama </w:t>
            </w:r>
          </w:p>
          <w:p w14:paraId="167A18C5" w14:textId="649C04EB" w:rsidR="00BE7381" w:rsidRPr="00BE7381" w:rsidRDefault="00BE7381" w:rsidP="00BE7381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Postupak donošenja propisa EU (zakonodavna inicijativa, donosioci propisa, nadležnosti i ovlasti)</w:t>
            </w:r>
          </w:p>
          <w:p w14:paraId="6514FC5B" w14:textId="77777777" w:rsidR="00BE7381" w:rsidRPr="00BE7381" w:rsidRDefault="00BE7381" w:rsidP="00BE7381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Zakonodavni i nezakonodavni akti (delegirani i provedbeni akti)</w:t>
            </w:r>
          </w:p>
          <w:p w14:paraId="71221123" w14:textId="77777777" w:rsidR="00BE7381" w:rsidRPr="00BE7381" w:rsidRDefault="00BE7381" w:rsidP="00BE7381">
            <w:pPr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b/>
                <w:sz w:val="20"/>
                <w:szCs w:val="20"/>
                <w:lang w:val="hr-HR"/>
              </w:rPr>
              <w:t xml:space="preserve">Sporazum o stabilizaciji i pridruživanju između BiH i EU u kontekstu prava EU </w:t>
            </w:r>
          </w:p>
          <w:p w14:paraId="42F86300" w14:textId="77777777" w:rsidR="00BE7381" w:rsidRPr="00BE7381" w:rsidRDefault="00BE7381" w:rsidP="00BE7381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Pravna osnova</w:t>
            </w:r>
          </w:p>
          <w:p w14:paraId="4DFAD76F" w14:textId="7AFBA934" w:rsidR="00BE7381" w:rsidRPr="00BE7381" w:rsidRDefault="00BE7381" w:rsidP="00BE7381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Pravni </w:t>
            </w:r>
            <w:r w:rsidR="00C85A9E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efekat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 Sporazuma o stabilizaciji i pridruživanju (SSP)</w:t>
            </w:r>
          </w:p>
          <w:p w14:paraId="2B278E66" w14:textId="2DB1F7DD" w:rsidR="00BE7381" w:rsidRDefault="00BE7381" w:rsidP="00BE7381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Institucionalni okvir iz SSP-a</w:t>
            </w:r>
          </w:p>
          <w:p w14:paraId="278EA710" w14:textId="0476707F" w:rsidR="00BE7381" w:rsidRPr="00BE7381" w:rsidRDefault="0052527B" w:rsidP="0052527B">
            <w:pPr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Ob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a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veza usklađivanja i Program </w:t>
            </w:r>
            <w:r w:rsidR="00BE7381"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integrisanja</w:t>
            </w:r>
          </w:p>
        </w:tc>
      </w:tr>
      <w:tr w:rsidR="00BE7381" w:rsidRPr="00BE7381" w14:paraId="170DA090" w14:textId="77777777" w:rsidTr="00BE7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/>
          </w:tcPr>
          <w:p w14:paraId="29C957B3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2C362FD1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Trajanje obuke izraženo brojem akademskih sati</w:t>
            </w:r>
          </w:p>
        </w:tc>
        <w:tc>
          <w:tcPr>
            <w:tcW w:w="11605" w:type="dxa"/>
            <w:shd w:val="clear" w:color="auto" w:fill="F2F2F2"/>
          </w:tcPr>
          <w:p w14:paraId="35D52AD6" w14:textId="77777777" w:rsidR="00BE7381" w:rsidRPr="00BE7381" w:rsidRDefault="00BE7381" w:rsidP="00BE7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</w:p>
          <w:p w14:paraId="4DD91946" w14:textId="7D64940C" w:rsidR="00BE7381" w:rsidRPr="00BE7381" w:rsidRDefault="00BE7381" w:rsidP="00BE7381">
            <w:pPr>
              <w:numPr>
                <w:ilvl w:val="0"/>
                <w:numId w:val="1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Klasična obuka u učionici: </w:t>
            </w:r>
            <w:r w:rsidR="00933B06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8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akademskih sati</w:t>
            </w:r>
            <w:r w:rsidR="00C85A9E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, 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t</w:t>
            </w:r>
            <w:r w:rsidR="00C85A9E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o 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j</w:t>
            </w:r>
            <w:r w:rsidR="00C85A9E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est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obuka u trajanju od 1 dana</w:t>
            </w:r>
          </w:p>
          <w:p w14:paraId="1CAB81DA" w14:textId="242B4C07" w:rsidR="00BE7381" w:rsidRPr="00BE7381" w:rsidRDefault="00BE7381" w:rsidP="00BE7381">
            <w:pPr>
              <w:numPr>
                <w:ilvl w:val="0"/>
                <w:numId w:val="10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Webinar: 5 akademsk</w:t>
            </w:r>
            <w:r w:rsidR="00933B06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ih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sat</w:t>
            </w:r>
            <w:r w:rsidR="00933B06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i</w:t>
            </w:r>
          </w:p>
          <w:p w14:paraId="7AA13F7D" w14:textId="77777777" w:rsidR="00BE7381" w:rsidRPr="00BE7381" w:rsidRDefault="00BE7381" w:rsidP="00BE7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</w:t>
            </w:r>
          </w:p>
        </w:tc>
      </w:tr>
      <w:tr w:rsidR="00BE7381" w:rsidRPr="00BE7381" w14:paraId="6850EAC7" w14:textId="77777777" w:rsidTr="00BE7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/>
          </w:tcPr>
          <w:p w14:paraId="00D57B6C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18ECA02D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48C98BD5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7706332B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Opis obuke</w:t>
            </w:r>
          </w:p>
        </w:tc>
        <w:tc>
          <w:tcPr>
            <w:tcW w:w="11605" w:type="dxa"/>
            <w:shd w:val="clear" w:color="auto" w:fill="F2F2F2"/>
          </w:tcPr>
          <w:p w14:paraId="43E5F766" w14:textId="68F2F745" w:rsidR="00BE7381" w:rsidRPr="00BE7381" w:rsidRDefault="00BE7381" w:rsidP="00BE7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S obzirom da je EU </w:t>
            </w:r>
            <w:r w:rsidRPr="00BE7381">
              <w:rPr>
                <w:rFonts w:ascii="Cambria" w:eastAsia="Arial Unicode MS" w:hAnsi="Cambria" w:cs="Times New Roman"/>
                <w:i/>
                <w:sz w:val="20"/>
                <w:szCs w:val="20"/>
                <w:lang w:val="hr-HR"/>
              </w:rPr>
              <w:t>sui generis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tvorevina, njen pravni sistem i zakonodavstvo su vrlo specifični. Pravo EU podijeljeno je na primarno i sekundarno te je vrlo složeno. </w:t>
            </w:r>
            <w:r w:rsidR="00933B06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Osnov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EU jeste prenos nadležnosti država članica na EU na osnovu Ugovora, u kojima su inkorpori</w:t>
            </w:r>
            <w:r w:rsidR="00C85A9E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s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ani određeni principi, kao i izdiferencirane nadležnosti EU u određenim poljima (isključive, podijeljene sa državama članicama i koordinirajuća nadležnost). Od vremena nastanka prvih e</w:t>
            </w:r>
            <w:r w:rsidR="00C85A9E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v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ropskih zajednica do danas desile su se mnoge promjene kako u strukturama i ulozi institucija EU</w:t>
            </w:r>
            <w:r w:rsidR="00C85A9E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,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procesu donošenja odluka, tako i u razvoju zajedničkih politika i pravnom instrumentariju EU. Razumijevanje funkcija i uloga unutar labirinta e</w:t>
            </w:r>
            <w:r w:rsidR="00C85A9E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v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ropskih institucija, kao i pravnog sistema EU</w:t>
            </w:r>
            <w:r w:rsidR="00933B06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,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važno je za razumijevanje cjelokupnog procesa e</w:t>
            </w:r>
            <w:r w:rsidR="00C85A9E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v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ropskih integracija.</w:t>
            </w:r>
          </w:p>
        </w:tc>
      </w:tr>
      <w:tr w:rsidR="00BE7381" w:rsidRPr="00BE7381" w14:paraId="55B610CF" w14:textId="77777777" w:rsidTr="00BE7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/>
          </w:tcPr>
          <w:p w14:paraId="034BD5A0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0F4EFBDF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Ciljevi obuke</w:t>
            </w:r>
          </w:p>
          <w:p w14:paraId="64215BF3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605" w:type="dxa"/>
            <w:shd w:val="clear" w:color="auto" w:fill="F2F2F2"/>
          </w:tcPr>
          <w:p w14:paraId="6ED1641F" w14:textId="77777777" w:rsidR="00BE7381" w:rsidRPr="00BE7381" w:rsidRDefault="00BE7381" w:rsidP="00BE7381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Upoznati polaznike s okvirom pravnog sistema EU.</w:t>
            </w:r>
          </w:p>
          <w:p w14:paraId="71FAFA36" w14:textId="77777777" w:rsidR="00BE7381" w:rsidRPr="00BE7381" w:rsidRDefault="00BE7381" w:rsidP="00BE7381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Prenijeti znanja o osnovama prava EU sa fokusom na sekundarne izvore prava (uredbe, direktive i odluke). </w:t>
            </w:r>
          </w:p>
          <w:p w14:paraId="445DDAAF" w14:textId="77777777" w:rsidR="00BE7381" w:rsidRPr="00BE7381" w:rsidRDefault="00BE7381" w:rsidP="00BE7381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Prenijeti znanja o učincima prava EU (obavezujući/neobavezujući, supremacija, proporcionalnost, direktni učinci, direktna primjena, odgovornost za neprimjenjivanje...).</w:t>
            </w:r>
          </w:p>
          <w:p w14:paraId="5F9B4928" w14:textId="6A091C75" w:rsidR="00BE7381" w:rsidRPr="00BE7381" w:rsidRDefault="00BE7381" w:rsidP="00BE7381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Upoznati polaznike s okvirom strukture, vrstom institucija drugih tijela EU i njihovim funkcioni</w:t>
            </w:r>
            <w:r w:rsidR="00C85A9E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s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anjem. </w:t>
            </w:r>
          </w:p>
          <w:p w14:paraId="63527EB6" w14:textId="7A959263" w:rsidR="00BE7381" w:rsidRPr="00BE7381" w:rsidRDefault="00BE7381" w:rsidP="00BE7381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Upoznati polaznike s osnovama procesa donošenja odluka u EU. </w:t>
            </w:r>
          </w:p>
          <w:p w14:paraId="136841D9" w14:textId="77777777" w:rsidR="00BE7381" w:rsidRDefault="00BE7381" w:rsidP="00BE7381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Upoznati polaznike sa SSP-om i njegov</w:t>
            </w:r>
            <w:r w:rsidR="00C55C8B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i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m </w:t>
            </w:r>
            <w:r w:rsidR="00C85A9E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efekt</w:t>
            </w:r>
            <w:r w:rsidR="00C55C8B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om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 na pravni sistem BiH. </w:t>
            </w:r>
          </w:p>
          <w:p w14:paraId="6ED3FDA2" w14:textId="6D2D117D" w:rsidR="00C55C8B" w:rsidRPr="00BE7381" w:rsidRDefault="00C55C8B" w:rsidP="00BE7381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3B60AD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Upoznati polaznike s ob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a</w:t>
            </w:r>
            <w:r w:rsidRPr="003B60AD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vezom usklađivanja i Programom integri</w:t>
            </w:r>
            <w:r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s</w:t>
            </w:r>
            <w:r w:rsidRPr="003B60AD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anja.</w:t>
            </w:r>
          </w:p>
        </w:tc>
      </w:tr>
      <w:tr w:rsidR="00BE7381" w:rsidRPr="00BE7381" w14:paraId="38B42511" w14:textId="77777777" w:rsidTr="00BE7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/>
          </w:tcPr>
          <w:p w14:paraId="44AFB0D6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231FE134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190F4B1B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Ciljna grupa polaznika</w:t>
            </w:r>
          </w:p>
        </w:tc>
        <w:tc>
          <w:tcPr>
            <w:tcW w:w="11605" w:type="dxa"/>
            <w:shd w:val="clear" w:color="auto" w:fill="F2F2F2"/>
          </w:tcPr>
          <w:p w14:paraId="7AC0FBA9" w14:textId="77777777" w:rsidR="00BE7381" w:rsidRPr="00BE7381" w:rsidRDefault="00BE7381" w:rsidP="00BE7381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Članovi tijela u sistemu koordinacije procesa evropskih integracija i ostalih struktura uspostavljenih za potrebe procesa evropskih integracija i državni službenici koji obavljaju poslove:</w:t>
            </w:r>
          </w:p>
          <w:p w14:paraId="58836CB7" w14:textId="77777777" w:rsidR="00BE7381" w:rsidRPr="00BE7381" w:rsidRDefault="00BE7381" w:rsidP="00BE7381">
            <w:pPr>
              <w:numPr>
                <w:ilvl w:val="0"/>
                <w:numId w:val="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usklađivanja zakonodavstva BiH sa pravnom stečevinom EU;</w:t>
            </w:r>
          </w:p>
          <w:p w14:paraId="44EE9F18" w14:textId="77777777" w:rsidR="00BE7381" w:rsidRPr="00BE7381" w:rsidRDefault="00BE7381" w:rsidP="00BE7381">
            <w:pPr>
              <w:numPr>
                <w:ilvl w:val="0"/>
                <w:numId w:val="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koordinacije procesa pridruživanja Bosne i Hercegovine EU;</w:t>
            </w:r>
          </w:p>
          <w:p w14:paraId="115A23CE" w14:textId="77777777" w:rsidR="00BE7381" w:rsidRPr="00BE7381" w:rsidRDefault="00BE7381" w:rsidP="00BE7381">
            <w:pPr>
              <w:numPr>
                <w:ilvl w:val="0"/>
                <w:numId w:val="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prevođenja i redakture pravnih propisa za potrebe procesa evropskih integracija;</w:t>
            </w:r>
          </w:p>
          <w:p w14:paraId="4A1C3F45" w14:textId="4E823037" w:rsidR="00BE7381" w:rsidRPr="00BE7381" w:rsidRDefault="00BE7381" w:rsidP="00BE7381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Naučni i stručni radnici, studenti dodiplomskih, poslijediplomskih i doktorskih studija u oblasti evropskih integracija, novinari, predstavnici nevladinih organizacija, uposleni u javnim p</w:t>
            </w:r>
            <w:r w:rsidR="00C85A9E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re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duzećima i nezaposleni.</w:t>
            </w:r>
          </w:p>
        </w:tc>
      </w:tr>
      <w:tr w:rsidR="00BE7381" w:rsidRPr="00BE7381" w14:paraId="55EB88BC" w14:textId="77777777" w:rsidTr="00BE7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/>
          </w:tcPr>
          <w:p w14:paraId="71FEBF56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54FF2EFE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Ishodi učenja</w:t>
            </w:r>
          </w:p>
          <w:p w14:paraId="5CBA9DB7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605" w:type="dxa"/>
            <w:shd w:val="clear" w:color="auto" w:fill="F2F2F2"/>
          </w:tcPr>
          <w:p w14:paraId="7E414E58" w14:textId="77777777" w:rsidR="00BE7381" w:rsidRPr="00BE7381" w:rsidRDefault="00BE7381" w:rsidP="00BE7381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Polaznici obuke su upoznati s osnovama pravnog sistema EU. </w:t>
            </w:r>
          </w:p>
          <w:p w14:paraId="2A677025" w14:textId="73808D10" w:rsidR="00BE7381" w:rsidRPr="00BE7381" w:rsidRDefault="00BE7381" w:rsidP="00BE7381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Polaznici obuke su upoznati s izvorima prava EU, njihovim karakteristikama i međusobnim razlikama. </w:t>
            </w:r>
          </w:p>
          <w:p w14:paraId="5D45FDC0" w14:textId="77777777" w:rsidR="00BE7381" w:rsidRPr="00BE7381" w:rsidRDefault="00BE7381" w:rsidP="00BE7381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Polaznici obuke razumiju proces donošenja zakona i drugih pravnih akata i uloge institucija EU u ovom procesu.</w:t>
            </w:r>
          </w:p>
          <w:p w14:paraId="6124A56F" w14:textId="77777777" w:rsidR="00BE7381" w:rsidRPr="00BE7381" w:rsidRDefault="00BE7381" w:rsidP="00BE7381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Polaznici obuke razumiju osnove i značaj SSP-a. </w:t>
            </w:r>
          </w:p>
        </w:tc>
      </w:tr>
      <w:tr w:rsidR="00BE7381" w:rsidRPr="00BE7381" w14:paraId="477AB969" w14:textId="77777777" w:rsidTr="00BE7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2F2F2"/>
          </w:tcPr>
          <w:p w14:paraId="47E98656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64D37C9D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2060780A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2FE9EBC7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  <w:p w14:paraId="3C070A75" w14:textId="5875FF7B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Metode izv</w:t>
            </w:r>
            <w:r w:rsidR="00C85A9E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>ođenja</w:t>
            </w:r>
            <w:r w:rsidRPr="00BE7381"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  <w:t xml:space="preserve"> obuke</w:t>
            </w:r>
          </w:p>
          <w:p w14:paraId="75290A2F" w14:textId="77777777" w:rsidR="00BE7381" w:rsidRPr="00BE7381" w:rsidRDefault="00BE7381" w:rsidP="00BE7381">
            <w:pPr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605" w:type="dxa"/>
            <w:shd w:val="clear" w:color="auto" w:fill="F2F2F2"/>
          </w:tcPr>
          <w:p w14:paraId="4278AB8E" w14:textId="77777777" w:rsidR="00BE7381" w:rsidRPr="00BE7381" w:rsidRDefault="00BE7381" w:rsidP="00BE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Obuka se može držati kao klasična obuka u učionici ili webinar. </w:t>
            </w:r>
          </w:p>
          <w:p w14:paraId="2A5A3171" w14:textId="77777777" w:rsidR="00BE7381" w:rsidRPr="00BE7381" w:rsidRDefault="00BE7381" w:rsidP="00BE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</w:p>
          <w:p w14:paraId="209F56E9" w14:textId="6712F52F" w:rsidR="00C55C8B" w:rsidRDefault="00BE7381" w:rsidP="00C55C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U slučaju klasične obuke u učionici teorijski dio (prezentacije) treba trajati 6 akademskih sati, a praktični </w:t>
            </w:r>
            <w:r w:rsidR="00C55C8B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dio </w:t>
            </w:r>
            <w:r w:rsidR="00C55C8B" w:rsidRPr="00B63CE7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(kvizovi, testovi, vježbe i rad u </w:t>
            </w:r>
            <w:r w:rsidR="00C55C8B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grupama</w:t>
            </w:r>
            <w:r w:rsidR="00C55C8B" w:rsidRPr="00B63CE7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) 2 akademska sata.</w:t>
            </w:r>
          </w:p>
          <w:p w14:paraId="27C445A2" w14:textId="515544F5" w:rsidR="00C55C8B" w:rsidRPr="00BE7381" w:rsidRDefault="00C55C8B" w:rsidP="00C55C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Ukoliko se obuka drži u formi webinara, skraćenje nje</w:t>
            </w: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n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og trajanja treba biti provedeno na način da se osigura </w:t>
            </w: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razmjern</w:t>
            </w: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o pokrivanje cjelokupnog sadržaja (teorijski dio i vježbe).</w:t>
            </w:r>
          </w:p>
          <w:p w14:paraId="5D54E743" w14:textId="77777777" w:rsidR="00C55C8B" w:rsidRDefault="00C55C8B" w:rsidP="00C55C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</w:p>
          <w:p w14:paraId="61278122" w14:textId="1BD5ED0E" w:rsidR="00BE7381" w:rsidRPr="00BE7381" w:rsidRDefault="00BE7381" w:rsidP="00BE7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</w:p>
          <w:p w14:paraId="4391E153" w14:textId="77777777" w:rsidR="00BE7381" w:rsidRPr="00BE7381" w:rsidRDefault="00BE7381" w:rsidP="00BE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</w:p>
          <w:p w14:paraId="4E7DFD2D" w14:textId="77777777" w:rsidR="00BE7381" w:rsidRPr="00BE7381" w:rsidRDefault="00BE7381" w:rsidP="00BE7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Praktični dio obuhvata:</w:t>
            </w:r>
          </w:p>
          <w:p w14:paraId="526680E3" w14:textId="77777777" w:rsidR="00BE7381" w:rsidRPr="00BE7381" w:rsidRDefault="00BE7381" w:rsidP="00BE7381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Primjer pravnih instrumenata EU (struktura, sadržaj i specifičnosti),</w:t>
            </w:r>
          </w:p>
          <w:p w14:paraId="416B60A0" w14:textId="6A5F4718" w:rsidR="00BE7381" w:rsidRPr="00BE7381" w:rsidRDefault="00BE7381" w:rsidP="00BE7381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Primjer presuda 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Suda E</w:t>
            </w:r>
            <w:r w:rsidR="00461C08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>v</w:t>
            </w:r>
            <w:r w:rsidRPr="00BE7381">
              <w:rPr>
                <w:rFonts w:ascii="Cambria" w:eastAsia="Calibri" w:hAnsi="Cambria" w:cs="Times New Roman"/>
                <w:sz w:val="20"/>
                <w:szCs w:val="20"/>
                <w:lang w:val="hr-HR"/>
              </w:rPr>
              <w:t xml:space="preserve">ropske unije (ilustracija značaja u pravnom i političkom kontekstu), </w:t>
            </w:r>
          </w:p>
          <w:p w14:paraId="4F66C400" w14:textId="2D95500B" w:rsidR="00BE7381" w:rsidRPr="00BE7381" w:rsidRDefault="00C55C8B" w:rsidP="00BE7381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>Kvizovi</w:t>
            </w:r>
            <w:r w:rsidR="00BE7381"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 samoprocjene u vezi s informacijama dobivenim tokom obuke,</w:t>
            </w:r>
          </w:p>
          <w:p w14:paraId="347A00BA" w14:textId="77777777" w:rsidR="00BE7381" w:rsidRPr="00BE7381" w:rsidRDefault="00BE7381" w:rsidP="00BE7381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</w:pPr>
            <w:r w:rsidRPr="00BE7381">
              <w:rPr>
                <w:rFonts w:ascii="Cambria" w:eastAsia="Arial Unicode MS" w:hAnsi="Cambria" w:cs="Times New Roman"/>
                <w:sz w:val="20"/>
                <w:szCs w:val="20"/>
                <w:lang w:val="hr-HR"/>
              </w:rPr>
              <w:t xml:space="preserve">Vježba po izboru predavača. </w:t>
            </w:r>
          </w:p>
        </w:tc>
      </w:tr>
    </w:tbl>
    <w:p w14:paraId="183E0256" w14:textId="77777777" w:rsidR="00560410" w:rsidRDefault="00560410"/>
    <w:sectPr w:rsidR="00560410" w:rsidSect="00BE73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38C"/>
    <w:multiLevelType w:val="hybridMultilevel"/>
    <w:tmpl w:val="AAD2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2FC3"/>
    <w:multiLevelType w:val="hybridMultilevel"/>
    <w:tmpl w:val="50F6645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387"/>
    <w:multiLevelType w:val="hybridMultilevel"/>
    <w:tmpl w:val="6C52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5654A"/>
    <w:multiLevelType w:val="hybridMultilevel"/>
    <w:tmpl w:val="4FF0143C"/>
    <w:lvl w:ilvl="0" w:tplc="C80AA418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CF1720"/>
    <w:multiLevelType w:val="hybridMultilevel"/>
    <w:tmpl w:val="D234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49BC"/>
    <w:multiLevelType w:val="hybridMultilevel"/>
    <w:tmpl w:val="4030F610"/>
    <w:lvl w:ilvl="0" w:tplc="6150AE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5D3E0E"/>
    <w:multiLevelType w:val="hybridMultilevel"/>
    <w:tmpl w:val="B67EAB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66104"/>
    <w:multiLevelType w:val="hybridMultilevel"/>
    <w:tmpl w:val="99724B6A"/>
    <w:lvl w:ilvl="0" w:tplc="61B49416">
      <w:start w:val="10"/>
      <w:numFmt w:val="bullet"/>
      <w:lvlText w:val="-"/>
      <w:lvlJc w:val="left"/>
      <w:pPr>
        <w:ind w:left="720" w:hanging="360"/>
      </w:pPr>
      <w:rPr>
        <w:rFonts w:ascii="Cambria" w:eastAsia="Arial Unicode MS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91882"/>
    <w:multiLevelType w:val="hybridMultilevel"/>
    <w:tmpl w:val="BEE29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D7738B"/>
    <w:multiLevelType w:val="hybridMultilevel"/>
    <w:tmpl w:val="E4F2A698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48929720">
    <w:abstractNumId w:val="6"/>
  </w:num>
  <w:num w:numId="2" w16cid:durableId="1127043541">
    <w:abstractNumId w:val="1"/>
  </w:num>
  <w:num w:numId="3" w16cid:durableId="900602844">
    <w:abstractNumId w:val="9"/>
  </w:num>
  <w:num w:numId="4" w16cid:durableId="1385564389">
    <w:abstractNumId w:val="2"/>
  </w:num>
  <w:num w:numId="5" w16cid:durableId="1864905372">
    <w:abstractNumId w:val="7"/>
  </w:num>
  <w:num w:numId="6" w16cid:durableId="1304430507">
    <w:abstractNumId w:val="4"/>
  </w:num>
  <w:num w:numId="7" w16cid:durableId="576014583">
    <w:abstractNumId w:val="5"/>
  </w:num>
  <w:num w:numId="8" w16cid:durableId="694430691">
    <w:abstractNumId w:val="8"/>
  </w:num>
  <w:num w:numId="9" w16cid:durableId="701787602">
    <w:abstractNumId w:val="3"/>
  </w:num>
  <w:num w:numId="10" w16cid:durableId="193805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06"/>
    <w:rsid w:val="00461C08"/>
    <w:rsid w:val="0052527B"/>
    <w:rsid w:val="00560410"/>
    <w:rsid w:val="00933B06"/>
    <w:rsid w:val="00BE7381"/>
    <w:rsid w:val="00C55C8B"/>
    <w:rsid w:val="00C85A9E"/>
    <w:rsid w:val="00D51E23"/>
    <w:rsid w:val="00EC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D3A7"/>
  <w15:chartTrackingRefBased/>
  <w15:docId w15:val="{2D265009-E23C-44AC-A941-71D7DED2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GridTable5Dark-Accent11">
    <w:name w:val="Grid Table 5 Dark - Accent 11"/>
    <w:basedOn w:val="Normalnatabela"/>
    <w:next w:val="Tamnatabelareetke5-isticanje1"/>
    <w:uiPriority w:val="50"/>
    <w:rsid w:val="00BE738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mnatabelareetke5-isticanje1">
    <w:name w:val="Grid Table 5 Dark Accent 1"/>
    <w:basedOn w:val="Normalnatabela"/>
    <w:uiPriority w:val="50"/>
    <w:rsid w:val="00BE73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Rimac</dc:creator>
  <cp:keywords/>
  <dc:description/>
  <cp:lastModifiedBy>Suzana Mijatović</cp:lastModifiedBy>
  <cp:revision>3</cp:revision>
  <dcterms:created xsi:type="dcterms:W3CDTF">2024-01-25T12:17:00Z</dcterms:created>
  <dcterms:modified xsi:type="dcterms:W3CDTF">2024-01-25T12:41:00Z</dcterms:modified>
</cp:coreProperties>
</file>