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70"/>
        <w:gridCol w:w="10780"/>
      </w:tblGrid>
      <w:tr w:rsidR="00165B40" w:rsidRPr="00165B40" w14:paraId="4463D0AE" w14:textId="77777777" w:rsidTr="000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06C3182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11B413AF" w14:textId="77777777" w:rsidR="00165B40" w:rsidRPr="00165B40" w:rsidRDefault="00165B40" w:rsidP="000E1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highlight w:val="yellow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8"/>
                <w:szCs w:val="28"/>
                <w:lang w:val="hr-BA"/>
              </w:rPr>
              <w:t>k) PREGOVARANJE U PROCESU PRISTUPANJA EUROPSKOJ UNIJI</w:t>
            </w:r>
          </w:p>
        </w:tc>
      </w:tr>
      <w:tr w:rsidR="00165B40" w:rsidRPr="00165B40" w14:paraId="4ACF6C6D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4496E37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50160700" w14:textId="77777777" w:rsidR="00165B40" w:rsidRPr="00165B40" w:rsidRDefault="00165B40" w:rsidP="000E109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1.    Bosna i Hercegovina i Europska unija </w:t>
            </w:r>
          </w:p>
          <w:p w14:paraId="78176EBA" w14:textId="77777777" w:rsidR="00165B40" w:rsidRPr="00165B40" w:rsidRDefault="00165B40" w:rsidP="000E1094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Pravni okvir procesa europskih integracija u BiH</w:t>
            </w:r>
          </w:p>
          <w:p w14:paraId="35FFCCB5" w14:textId="3ECEB3FC" w:rsidR="00165B40" w:rsidRPr="00165B40" w:rsidRDefault="00165B40" w:rsidP="000E1094">
            <w:pPr>
              <w:pStyle w:val="Paragrafspisk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Pristup EU prema BiH i zemljama 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Z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apadnog Balkana</w:t>
            </w:r>
          </w:p>
          <w:p w14:paraId="315D0E67" w14:textId="77777777" w:rsidR="00165B40" w:rsidRPr="00165B40" w:rsidRDefault="00165B40" w:rsidP="000E109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b/>
                <w:sz w:val="20"/>
                <w:szCs w:val="20"/>
                <w:lang w:val="hr-BA"/>
              </w:rPr>
              <w:t>2.    Pregovaranje</w:t>
            </w:r>
          </w:p>
          <w:p w14:paraId="59FE464E" w14:textId="77777777" w:rsidR="00165B40" w:rsidRPr="00165B40" w:rsidRDefault="00165B40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Općenito o pregovaranju</w:t>
            </w:r>
          </w:p>
          <w:p w14:paraId="0ADC03B8" w14:textId="77777777" w:rsidR="00165B40" w:rsidRPr="00165B40" w:rsidRDefault="00165B40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Vještine pregovaranja </w:t>
            </w:r>
          </w:p>
          <w:p w14:paraId="3587541B" w14:textId="77777777" w:rsidR="00165B40" w:rsidRPr="00165B40" w:rsidRDefault="00165B40" w:rsidP="000E109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b/>
                <w:sz w:val="20"/>
                <w:szCs w:val="20"/>
                <w:lang w:val="hr-BA"/>
              </w:rPr>
              <w:t>3.    Pregovori o pristupanju EU</w:t>
            </w:r>
          </w:p>
          <w:p w14:paraId="23B2545F" w14:textId="77777777" w:rsidR="00165B40" w:rsidRPr="00165B40" w:rsidRDefault="00165B40" w:rsidP="000E1094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Faze u pregovorima o pristupanju s EU</w:t>
            </w:r>
          </w:p>
          <w:p w14:paraId="0B5B7BB5" w14:textId="77777777" w:rsidR="00165B40" w:rsidRPr="00165B40" w:rsidRDefault="00165B40" w:rsidP="000E1094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Neophodne strukture i procedure za pregovore</w:t>
            </w:r>
          </w:p>
          <w:p w14:paraId="4FA59543" w14:textId="77777777" w:rsidR="00165B40" w:rsidRPr="00165B40" w:rsidRDefault="00165B40" w:rsidP="000E1094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Sadržaj pregovora</w:t>
            </w:r>
          </w:p>
          <w:p w14:paraId="1E5C0242" w14:textId="77777777" w:rsidR="00165B40" w:rsidRPr="00165B40" w:rsidRDefault="00165B40" w:rsidP="000E1094">
            <w:pPr>
              <w:pStyle w:val="Paragrafspisk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Priprema pregovaračkih stajališta</w:t>
            </w:r>
          </w:p>
        </w:tc>
      </w:tr>
      <w:tr w:rsidR="00165B40" w:rsidRPr="00165B40" w14:paraId="42B5540D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27F7242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Trajanje obuke izraženo brojem akademskih sati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3E4F0D97" w14:textId="77777777" w:rsidR="00165B40" w:rsidRPr="00165B40" w:rsidRDefault="00165B40" w:rsidP="000E1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79C93BDC" w14:textId="1ADB96FA" w:rsidR="00165B40" w:rsidRPr="00165B40" w:rsidRDefault="00165B40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•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ab/>
              <w:t>Klasična obuka u učionici: 8 akademskih sati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,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 to jest obuka u trajanju od 1 dana</w:t>
            </w:r>
          </w:p>
          <w:p w14:paraId="380A573D" w14:textId="77777777" w:rsidR="00165B40" w:rsidRPr="00165B40" w:rsidRDefault="00165B40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•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ab/>
              <w:t>Webinar: 5 akademskih sati</w:t>
            </w:r>
          </w:p>
          <w:p w14:paraId="7FC1A3C9" w14:textId="77777777" w:rsidR="00165B40" w:rsidRPr="00165B40" w:rsidRDefault="00165B40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165B40" w:rsidRPr="00165B40" w14:paraId="37F8BE3A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1663E48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</w:p>
          <w:p w14:paraId="0A70158B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Opis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08F7309E" w14:textId="1D80D2D0" w:rsidR="00165B40" w:rsidRPr="00165B40" w:rsidRDefault="005A6992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proofErr w:type="spellStart"/>
            <w:r w:rsidRPr="005A6992">
              <w:rPr>
                <w:rFonts w:ascii="Cambria" w:hAnsi="Cambria"/>
                <w:sz w:val="20"/>
                <w:szCs w:val="20"/>
              </w:rPr>
              <w:t>Nakon</w:t>
            </w:r>
            <w:proofErr w:type="spellEnd"/>
            <w:r w:rsidRPr="005A69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A6992">
              <w:rPr>
                <w:rFonts w:ascii="Cambria" w:hAnsi="Cambria"/>
                <w:sz w:val="20"/>
                <w:szCs w:val="20"/>
              </w:rPr>
              <w:t>odluke</w:t>
            </w:r>
            <w:proofErr w:type="spellEnd"/>
            <w:r w:rsidRPr="005A6992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5A6992">
              <w:rPr>
                <w:rFonts w:ascii="Cambria" w:hAnsi="Cambria"/>
                <w:sz w:val="20"/>
                <w:szCs w:val="20"/>
              </w:rPr>
              <w:t>otvaranju</w:t>
            </w:r>
            <w:proofErr w:type="spellEnd"/>
            <w:r w:rsidRPr="005A699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A6992">
              <w:rPr>
                <w:rFonts w:ascii="Cambria" w:hAnsi="Cambria"/>
                <w:sz w:val="20"/>
                <w:szCs w:val="20"/>
              </w:rPr>
              <w:t>pregovora</w:t>
            </w:r>
            <w:proofErr w:type="spellEnd"/>
            <w:r w:rsidR="00165B40" w:rsidRPr="00165B40">
              <w:rPr>
                <w:rFonts w:ascii="Cambria" w:hAnsi="Cambria"/>
                <w:sz w:val="20"/>
                <w:szCs w:val="20"/>
                <w:lang w:val="hr-BA"/>
              </w:rPr>
              <w:t>, pred državnim službenicima sa svih razina vlasti u BiH će se naći izuzetno kompleksan i zahtjevan zadatak pregovaranja o pristupanju EU. Za državne službenike sa svih razina vlasti je od iz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nimne</w:t>
            </w:r>
            <w:r w:rsidR="00165B40"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 važnosti da, prije svega, poznaju trenutačni pravni okvir u BiH koji se tiče EI, ali i pristup EU prema državama 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Z</w:t>
            </w:r>
            <w:r w:rsidR="00165B40" w:rsidRPr="00165B40">
              <w:rPr>
                <w:rFonts w:ascii="Cambria" w:hAnsi="Cambria"/>
                <w:sz w:val="20"/>
                <w:szCs w:val="20"/>
                <w:lang w:val="hr-BA"/>
              </w:rPr>
              <w:t>apadnog Balkana. Od iz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 xml:space="preserve">nimne je </w:t>
            </w:r>
            <w:r w:rsidR="00165B40"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važnosti je da se državni službenici detaljno upoznaju s fazama u procesu pregovora i regionalnim iskustvima u tom procesu. Najvažniji zadatak pred državnim službenicima u procesu pregovora će biti priprema pregovaračkog stajališta, za što će biti osposobljeni polaznici obuke. U samom procesu, veoma je važno znati suštinu pregovora, odnosno o čemu se može pregovarati s EU a o čemu ne, a regionalna iskustva mogu biti od velike koristi.  </w:t>
            </w:r>
          </w:p>
          <w:p w14:paraId="0E10DCF1" w14:textId="77777777" w:rsidR="00165B40" w:rsidRPr="00165B40" w:rsidRDefault="00165B40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165B40" w:rsidRPr="00165B40" w14:paraId="641890B3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CA68525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Ciljevi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7B4EC09E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Upoznati polaznike s pravnim okvirom procesa europskih integracija u BiH  </w:t>
            </w:r>
          </w:p>
          <w:p w14:paraId="174067FC" w14:textId="3E9F9F15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Upoznati polaznike s pristupom EU prema BiH i zemljama 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Z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apadnog Balkana</w:t>
            </w:r>
          </w:p>
          <w:p w14:paraId="1CE1E852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Upoznati polaznike o osnovama pregovaranja i razviti kod polaznika osnovne vještine pregovaranja u općenitom smislu</w:t>
            </w:r>
          </w:p>
          <w:p w14:paraId="219A46FE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Prenijeti znanja o fazama u pregovorima o pristupanju s EU</w:t>
            </w:r>
          </w:p>
          <w:p w14:paraId="36A23067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Prenijeti znanja o neophodnim strukturama za pregovore</w:t>
            </w:r>
          </w:p>
          <w:p w14:paraId="0727A6C1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Upoznati polaznike sa sadržajem pregovora</w:t>
            </w:r>
          </w:p>
          <w:p w14:paraId="1734EA98" w14:textId="77777777" w:rsidR="00165B40" w:rsidRPr="00165B40" w:rsidRDefault="00165B40" w:rsidP="000E1094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Prenijeti znanja o pripremama pregovaračkih stajališta</w:t>
            </w:r>
          </w:p>
        </w:tc>
      </w:tr>
      <w:tr w:rsidR="00165B40" w:rsidRPr="00165B40" w14:paraId="620B6C89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D7407CF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Ciljna skupina polaznika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075C4F71" w14:textId="77777777" w:rsidR="00165B40" w:rsidRPr="00165B40" w:rsidRDefault="00165B40" w:rsidP="000E1094">
            <w:pPr>
              <w:numPr>
                <w:ilvl w:val="0"/>
                <w:numId w:val="1"/>
              </w:num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Članovi tijela u sustavu koordinacije procesa europskih integracija i ostalih struktura uspostavljenih za potrebe procesa europskih integracija i državni službenici koji obavljaju poslove:</w:t>
            </w:r>
          </w:p>
          <w:p w14:paraId="7B606136" w14:textId="77777777" w:rsidR="00165B40" w:rsidRPr="00165B40" w:rsidRDefault="00165B40" w:rsidP="000E1094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koordinacije procesa pridruživanja BiH EU</w:t>
            </w:r>
          </w:p>
          <w:p w14:paraId="3B7E598A" w14:textId="77777777" w:rsidR="00165B40" w:rsidRPr="00165B40" w:rsidRDefault="00165B40" w:rsidP="000E1094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usklađivanja zakonodavstva BiH s pravnom stečevinom EU</w:t>
            </w:r>
          </w:p>
          <w:p w14:paraId="793DE5F6" w14:textId="77777777" w:rsidR="00165B40" w:rsidRPr="00165B40" w:rsidRDefault="00165B40" w:rsidP="000E1094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prevođenja i redakture pravnih propisa za potrebe procesa europskih integracija</w:t>
            </w:r>
          </w:p>
          <w:p w14:paraId="56ABFE9C" w14:textId="77777777" w:rsidR="00165B40" w:rsidRPr="00165B40" w:rsidRDefault="00165B40" w:rsidP="000E1094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strateškog planiranja, programiranja, monitoringa i evaluacije pomoći EU.</w:t>
            </w:r>
          </w:p>
          <w:p w14:paraId="1F538469" w14:textId="77777777" w:rsidR="00165B40" w:rsidRPr="00165B40" w:rsidRDefault="00165B40" w:rsidP="000E1094">
            <w:pPr>
              <w:numPr>
                <w:ilvl w:val="0"/>
                <w:numId w:val="1"/>
              </w:num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lastRenderedPageBreak/>
              <w:t>Znanstveni i stručni djelatnici, studenti dodiplomskih, poslijediplomskih i doktorskih studija u oblasti europskih integracija, novinari, predstavnici nevladinih organizacija, uposleni u javnim poduzećima i nezaposleni.</w:t>
            </w:r>
          </w:p>
        </w:tc>
      </w:tr>
      <w:tr w:rsidR="00165B40" w:rsidRPr="00165B40" w14:paraId="4A2AB728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B4FAD0B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lastRenderedPageBreak/>
              <w:t>Ishodi učenja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6AAE60B3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Polaznici razumiju pravni okvir procesa europskih integracija u BiH </w:t>
            </w:r>
          </w:p>
          <w:p w14:paraId="3EC0ADD6" w14:textId="71D8E5C9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Polaznici razumiju aktualni pristup EU prema BiH i zemljama 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Z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apadnog Balkana</w:t>
            </w:r>
          </w:p>
          <w:p w14:paraId="00D9B96C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Polaznici su upoznati s osnovama pregovaranja i osnovnim vještinama pregovaranja u općenitom smislu</w:t>
            </w:r>
          </w:p>
          <w:p w14:paraId="3BAB0D12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Polaznici su upoznati s fazama u pregovorima o pristupanju s EU</w:t>
            </w:r>
          </w:p>
          <w:p w14:paraId="2C214528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Polaznici su upoznati s neophodnim strukturama za pregovore</w:t>
            </w:r>
          </w:p>
          <w:p w14:paraId="1366D7C4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Polaznici su upoznati sa sadržajem pregovora</w:t>
            </w:r>
          </w:p>
          <w:p w14:paraId="6B703193" w14:textId="77777777" w:rsidR="00165B40" w:rsidRPr="00165B40" w:rsidRDefault="00165B40" w:rsidP="000E1094">
            <w:pPr>
              <w:pStyle w:val="Paragrafspiska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Polaznici razumiju i osposobljeni su da pripreme pregovaračka stajališta</w:t>
            </w:r>
          </w:p>
        </w:tc>
      </w:tr>
      <w:tr w:rsidR="00165B40" w:rsidRPr="00165B40" w14:paraId="117A1120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3C162F4" w14:textId="77777777" w:rsidR="00165B40" w:rsidRPr="00165B40" w:rsidRDefault="00165B40" w:rsidP="000E109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color w:val="000000" w:themeColor="text1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1605" w:type="dxa"/>
            <w:shd w:val="clear" w:color="auto" w:fill="F2F2F2" w:themeFill="background1" w:themeFillShade="F2"/>
          </w:tcPr>
          <w:p w14:paraId="0CFE1A4A" w14:textId="77777777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0B432EBA" w14:textId="77777777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3F464A38" w14:textId="77777777" w:rsidR="00C40922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Teorijski dio (prezentacije) i praktični dio (rad u grupama i stalna interakcija s polaznicama). </w:t>
            </w:r>
          </w:p>
          <w:p w14:paraId="6183E03C" w14:textId="77777777" w:rsidR="00C40922" w:rsidRDefault="00C40922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2B643EA2" w14:textId="069A1E2A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Ukoliko se obuka drži u formi webinara, skraćenje njezinog trajanja treba biti provedeno na način da se osigura razmjerno pokrivanje cjelokupnog sadržaja.</w:t>
            </w:r>
          </w:p>
          <w:p w14:paraId="3FC39502" w14:textId="77777777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4D38447E" w14:textId="77777777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Nakon svakog obrađenog teorijskog dijela (prezentacije) treba slijediti provjera znanja polaznika.</w:t>
            </w:r>
          </w:p>
          <w:p w14:paraId="02A87CA7" w14:textId="77777777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4C2D535" w14:textId="0375E5B3" w:rsidR="00165B40" w:rsidRPr="00165B40" w:rsidRDefault="00165B40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highlight w:val="yellow"/>
                <w:lang w:val="hr-BA"/>
              </w:rPr>
            </w:pP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Praktični rad je potrebno temeljiti na metodama: testovi samoprocjene u vezi s informacijama dobivenim t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ije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kom obuke, </w:t>
            </w:r>
            <w:r w:rsidRPr="00F63338">
              <w:rPr>
                <w:rFonts w:ascii="Cambria" w:hAnsi="Cambria"/>
                <w:i/>
                <w:iCs/>
                <w:sz w:val="20"/>
                <w:szCs w:val="20"/>
                <w:lang w:val="hr-BA"/>
              </w:rPr>
              <w:t>brainstorming, case-study, debrifing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 i sl. Praktični dio obuke treba da kombin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 xml:space="preserve">ira 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grupni rad, rad u parovima, analizu teksta i sl.  Praktični dio, tj. vježbe i primjeri</w:t>
            </w:r>
            <w:r w:rsidR="00F63338">
              <w:rPr>
                <w:rFonts w:ascii="Cambria" w:hAnsi="Cambria"/>
                <w:sz w:val="20"/>
                <w:szCs w:val="20"/>
                <w:lang w:val="hr-BA"/>
              </w:rPr>
              <w:t>,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 xml:space="preserve"> trebaju trajati najmanje </w:t>
            </w:r>
            <w:r w:rsidR="00C40922">
              <w:rPr>
                <w:rFonts w:ascii="Cambria" w:hAnsi="Cambria"/>
                <w:sz w:val="20"/>
                <w:szCs w:val="20"/>
                <w:lang w:val="hr-BA"/>
              </w:rPr>
              <w:t>4</w:t>
            </w:r>
            <w:r w:rsidRPr="00165B40">
              <w:rPr>
                <w:rFonts w:ascii="Cambria" w:hAnsi="Cambria"/>
                <w:sz w:val="20"/>
                <w:szCs w:val="20"/>
                <w:lang w:val="hr-BA"/>
              </w:rPr>
              <w:t>0% vremena ukupnog trajanja obuke.</w:t>
            </w:r>
          </w:p>
        </w:tc>
      </w:tr>
    </w:tbl>
    <w:p w14:paraId="0CB8FE8C" w14:textId="77777777" w:rsidR="001E47E4" w:rsidRPr="00165B40" w:rsidRDefault="001E47E4">
      <w:pPr>
        <w:rPr>
          <w:lang w:val="hr-BA"/>
        </w:rPr>
      </w:pPr>
    </w:p>
    <w:sectPr w:rsidR="001E47E4" w:rsidRPr="00165B40" w:rsidSect="00165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140D"/>
    <w:multiLevelType w:val="hybridMultilevel"/>
    <w:tmpl w:val="B11C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ED6"/>
    <w:multiLevelType w:val="hybridMultilevel"/>
    <w:tmpl w:val="69F6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4CE0"/>
    <w:multiLevelType w:val="hybridMultilevel"/>
    <w:tmpl w:val="06DA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787"/>
    <w:multiLevelType w:val="hybridMultilevel"/>
    <w:tmpl w:val="DDEA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28CB"/>
    <w:multiLevelType w:val="hybridMultilevel"/>
    <w:tmpl w:val="4E40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97DEA"/>
    <w:multiLevelType w:val="hybridMultilevel"/>
    <w:tmpl w:val="ACD4C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046331"/>
    <w:multiLevelType w:val="hybridMultilevel"/>
    <w:tmpl w:val="9AF65620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56996">
    <w:abstractNumId w:val="1"/>
  </w:num>
  <w:num w:numId="2" w16cid:durableId="854228516">
    <w:abstractNumId w:val="6"/>
  </w:num>
  <w:num w:numId="3" w16cid:durableId="2000382592">
    <w:abstractNumId w:val="5"/>
  </w:num>
  <w:num w:numId="4" w16cid:durableId="1818914014">
    <w:abstractNumId w:val="3"/>
  </w:num>
  <w:num w:numId="5" w16cid:durableId="1272856615">
    <w:abstractNumId w:val="0"/>
  </w:num>
  <w:num w:numId="6" w16cid:durableId="1734347069">
    <w:abstractNumId w:val="2"/>
  </w:num>
  <w:num w:numId="7" w16cid:durableId="26025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17"/>
    <w:rsid w:val="00090717"/>
    <w:rsid w:val="00165B40"/>
    <w:rsid w:val="001E47E4"/>
    <w:rsid w:val="005A6992"/>
    <w:rsid w:val="00C40922"/>
    <w:rsid w:val="00E90B6F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59B7"/>
  <w15:chartTrackingRefBased/>
  <w15:docId w15:val="{2EBD1B54-DA60-434D-A24C-DB166D96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165B40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165B40"/>
    <w:pPr>
      <w:ind w:left="720"/>
      <w:contextualSpacing/>
    </w:pPr>
  </w:style>
  <w:style w:type="table" w:customStyle="1" w:styleId="GridTable5Dark-Accent11">
    <w:name w:val="Grid Table 5 Dark - Accent 11"/>
    <w:basedOn w:val="Normalnatabela"/>
    <w:next w:val="Tamnatabelareetke5-isticanje1"/>
    <w:uiPriority w:val="50"/>
    <w:rsid w:val="00165B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165B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C409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2</cp:revision>
  <dcterms:created xsi:type="dcterms:W3CDTF">2025-01-06T11:34:00Z</dcterms:created>
  <dcterms:modified xsi:type="dcterms:W3CDTF">2025-01-06T11:34:00Z</dcterms:modified>
</cp:coreProperties>
</file>