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8"/>
        <w:gridCol w:w="10782"/>
      </w:tblGrid>
      <w:tr w:rsidR="007E3D31" w:rsidRPr="00D40C38" w14:paraId="2814445B" w14:textId="77777777" w:rsidTr="00C23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30DE0403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Naziv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504CA9A0" w14:textId="33BB585C" w:rsidR="007E3D31" w:rsidRPr="00D40C38" w:rsidRDefault="007E3D31" w:rsidP="00C2331E">
            <w:pPr>
              <w:ind w:lef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de-DE"/>
              </w:rPr>
            </w:pPr>
            <w:r w:rsidRPr="00D261B9">
              <w:rPr>
                <w:rFonts w:ascii="Cambria" w:hAnsi="Cambria"/>
                <w:color w:val="auto"/>
                <w:sz w:val="28"/>
                <w:szCs w:val="28"/>
                <w:lang w:val="de-DE"/>
              </w:rPr>
              <w:t>f) PRIPREMA SPECIFIČNIH DOKUMENATA ZA KORIŠTENJE PRETPRISTUPNE POMOĆI E</w:t>
            </w:r>
            <w:r w:rsidR="00036816">
              <w:rPr>
                <w:rFonts w:ascii="Cambria" w:hAnsi="Cambria"/>
                <w:color w:val="auto"/>
                <w:sz w:val="28"/>
                <w:szCs w:val="28"/>
                <w:lang w:val="de-DE"/>
              </w:rPr>
              <w:t>V</w:t>
            </w:r>
            <w:r w:rsidRPr="00D261B9">
              <w:rPr>
                <w:rFonts w:ascii="Cambria" w:hAnsi="Cambria"/>
                <w:color w:val="auto"/>
                <w:sz w:val="28"/>
                <w:szCs w:val="28"/>
                <w:lang w:val="de-DE"/>
              </w:rPr>
              <w:t>ROPSKE UNIJE</w:t>
            </w:r>
          </w:p>
        </w:tc>
      </w:tr>
      <w:tr w:rsidR="007E3D31" w:rsidRPr="00D40C38" w14:paraId="67A25CDE" w14:textId="77777777" w:rsidTr="00C23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C8F19BF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</w:p>
          <w:p w14:paraId="08DB8131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</w:p>
          <w:p w14:paraId="67F7EF3E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</w:p>
          <w:p w14:paraId="2DA21170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</w:p>
          <w:p w14:paraId="3D83CF74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</w:p>
          <w:p w14:paraId="04BA5FD9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Sadržaj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6F334B72" w14:textId="220F4C23" w:rsidR="007051C4" w:rsidRPr="00E44A53" w:rsidRDefault="007051C4" w:rsidP="007051C4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</w:pPr>
            <w:r w:rsidRPr="00E44A53"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>Glavne promjene i izazovi u IPA II</w:t>
            </w:r>
            <w:r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>I</w:t>
            </w:r>
            <w:r w:rsidRPr="00E44A53"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 xml:space="preserve">: </w:t>
            </w:r>
          </w:p>
          <w:p w14:paraId="1DE25452" w14:textId="137F8D47" w:rsidR="007051C4" w:rsidRPr="00033897" w:rsidRDefault="007051C4" w:rsidP="007051C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Osnovni elementi i promjene</w:t>
            </w:r>
            <w:r w:rsidRPr="00033897">
              <w:rPr>
                <w:rFonts w:ascii="Cambria" w:eastAsia="Arial Unicode MS" w:hAnsi="Cambria"/>
                <w:i/>
                <w:noProof/>
                <w:sz w:val="20"/>
                <w:szCs w:val="20"/>
                <w:lang w:val="es-ES" w:eastAsia="bs-Latn-BA"/>
              </w:rPr>
              <w:t xml:space="preserve"> </w:t>
            </w:r>
            <w:r w:rsidRPr="00033897"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  <w:t>u odnosu na IPA 20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  <w:t>14</w:t>
            </w:r>
            <w:r w:rsidRPr="00033897"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  <w:t>-20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  <w:t>20</w:t>
            </w:r>
            <w:r w:rsidR="000B28CA"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  <w:t>.</w:t>
            </w:r>
            <w:r w:rsidRPr="00033897">
              <w:rPr>
                <w:rFonts w:ascii="Cambria" w:eastAsia="Arial Unicode MS" w:hAnsi="Cambria"/>
                <w:noProof/>
                <w:sz w:val="20"/>
                <w:szCs w:val="20"/>
                <w:lang w:val="es-ES" w:eastAsia="bs-Latn-BA"/>
              </w:rPr>
              <w:t xml:space="preserve"> </w:t>
            </w:r>
          </w:p>
          <w:p w14:paraId="0EC983AA" w14:textId="77777777" w:rsidR="007051C4" w:rsidRPr="001F47BF" w:rsidRDefault="007051C4" w:rsidP="007051C4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Specifična IPA II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I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 xml:space="preserve"> terminologija </w:t>
            </w:r>
          </w:p>
          <w:p w14:paraId="63CCDB3C" w14:textId="2212608D" w:rsidR="007051C4" w:rsidRPr="001F47BF" w:rsidRDefault="007051C4" w:rsidP="007051C4">
            <w:pPr>
              <w:numPr>
                <w:ilvl w:val="0"/>
                <w:numId w:val="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Osnovni elementi IPA II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I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 xml:space="preserve"> (zajednički strateški okvir, 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 xml:space="preserve">zajednički </w:t>
            </w:r>
            <w:r w:rsidR="00AE31AB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budžet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 xml:space="preserve"> i podjela sredstava, strateški dokument države korisnice pomoći EU</w:t>
            </w:r>
            <w:r w:rsidR="00F1256A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 xml:space="preserve"> - 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Strateški odgovor</w:t>
            </w:r>
            <w:r w:rsidR="00F1256A"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>)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eastAsia="bs-Latn-BA"/>
              </w:rPr>
              <w:t xml:space="preserve"> </w:t>
            </w:r>
          </w:p>
          <w:p w14:paraId="45037BC4" w14:textId="77777777" w:rsidR="007051C4" w:rsidRPr="00E44A53" w:rsidRDefault="007051C4" w:rsidP="007051C4">
            <w:pPr>
              <w:pStyle w:val="Paragrafspisk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</w:pPr>
            <w:r w:rsidRPr="00E44A53"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 xml:space="preserve">IPA II pravni i strateški okvir: </w:t>
            </w:r>
          </w:p>
          <w:p w14:paraId="31AFE86B" w14:textId="77777777" w:rsidR="007051C4" w:rsidRPr="001F47BF" w:rsidRDefault="007051C4" w:rsidP="007051C4">
            <w:pPr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Hijerarhija dokumenata </w:t>
            </w:r>
          </w:p>
          <w:p w14:paraId="44741F05" w14:textId="77777777" w:rsidR="007051C4" w:rsidRPr="001F47BF" w:rsidRDefault="007051C4" w:rsidP="007051C4">
            <w:pPr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b/>
                <w:i/>
                <w:noProof/>
                <w:sz w:val="20"/>
                <w:szCs w:val="20"/>
                <w:lang w:val="hr-HR" w:eastAsia="bs-Latn-BA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Predstavljanje ključnih pravnih dokumenata</w:t>
            </w:r>
            <w:r w:rsidRPr="001F47BF"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 xml:space="preserve">  </w:t>
            </w:r>
            <w:r w:rsidRPr="001F47BF">
              <w:rPr>
                <w:rFonts w:ascii="Cambria" w:eastAsia="Arial Unicode MS" w:hAnsi="Cambria"/>
                <w:b/>
                <w:i/>
                <w:noProof/>
                <w:sz w:val="20"/>
                <w:szCs w:val="20"/>
                <w:lang w:val="hr-HR" w:eastAsia="bs-Latn-BA"/>
              </w:rPr>
              <w:t xml:space="preserve">  </w:t>
            </w:r>
          </w:p>
          <w:p w14:paraId="35D6EDF7" w14:textId="672456DD" w:rsidR="007051C4" w:rsidRPr="00EB4665" w:rsidRDefault="007051C4" w:rsidP="007051C4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IPA II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I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piramida pravnih i strateških dokumenata: </w:t>
            </w:r>
            <w:r w:rsidR="000653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Sporazum o finans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ijskom partnerskom okviru (FFPA), Strateški odgovor (SR)</w:t>
            </w:r>
            <w:r w:rsidR="000653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,  Akcioni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dokument (AD)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, Idejni prijedlog (AF)</w:t>
            </w:r>
          </w:p>
          <w:p w14:paraId="1173ECD5" w14:textId="77777777" w:rsidR="007051C4" w:rsidRPr="00E44A53" w:rsidRDefault="007051C4" w:rsidP="007051C4">
            <w:pPr>
              <w:pStyle w:val="Paragrafspisk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 xml:space="preserve"> </w:t>
            </w:r>
            <w:r>
              <w:rPr>
                <w:rFonts w:ascii="Cambria" w:eastAsia="Arial Unicode MS" w:hAnsi="Cambria"/>
                <w:b/>
                <w:noProof/>
                <w:sz w:val="20"/>
                <w:szCs w:val="20"/>
                <w:lang w:val="sr-Latn-BA" w:eastAsia="bs-Latn-BA"/>
              </w:rPr>
              <w:t>Izrada programskih dokumenata</w:t>
            </w:r>
            <w:r w:rsidRPr="00E44A53">
              <w:rPr>
                <w:rFonts w:ascii="Cambria" w:eastAsia="Arial Unicode MS" w:hAnsi="Cambria"/>
                <w:b/>
                <w:noProof/>
                <w:sz w:val="20"/>
                <w:szCs w:val="20"/>
                <w:lang w:val="hr-HR" w:eastAsia="bs-Latn-BA"/>
              </w:rPr>
              <w:t>:</w:t>
            </w:r>
          </w:p>
          <w:p w14:paraId="27516186" w14:textId="668793D1" w:rsidR="007051C4" w:rsidRDefault="007051C4" w:rsidP="007051C4">
            <w:pPr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I</w:t>
            </w:r>
            <w:r w:rsidR="000653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nterventna</w:t>
            </w:r>
            <w:r w:rsidR="00F1256A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logika i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uzajamna veza između 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SR,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AD-a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i AF-a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</w:t>
            </w:r>
          </w:p>
          <w:p w14:paraId="781729B8" w14:textId="77777777" w:rsidR="007051C4" w:rsidRPr="001F47BF" w:rsidRDefault="007051C4" w:rsidP="007051C4">
            <w:pPr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SR 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u procesu programiranja 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- 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svrha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,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uloga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i sadržaj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</w:t>
            </w:r>
          </w:p>
          <w:p w14:paraId="7F052B7C" w14:textId="77777777" w:rsidR="007051C4" w:rsidRDefault="007051C4" w:rsidP="007051C4">
            <w:pPr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AF 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u procesu programiranja 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- 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svrha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,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uloga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i sadržaj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</w:t>
            </w:r>
          </w:p>
          <w:p w14:paraId="7D6D5D54" w14:textId="701F6225" w:rsidR="007E3D31" w:rsidRPr="007051C4" w:rsidRDefault="007051C4" w:rsidP="007051C4">
            <w:pPr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 w:rsidRPr="007051C4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AD u procesu programiranja - svrha, uloga i sadržaj</w:t>
            </w:r>
          </w:p>
        </w:tc>
      </w:tr>
      <w:tr w:rsidR="007E3D31" w:rsidRPr="00D40C38" w14:paraId="208CE494" w14:textId="77777777" w:rsidTr="00C23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AD1AC81" w14:textId="77777777" w:rsidR="007E3D31" w:rsidRDefault="007E3D31" w:rsidP="00C2331E">
            <w:pPr>
              <w:jc w:val="center"/>
              <w:rPr>
                <w:rFonts w:ascii="Cambria" w:hAnsi="Cambria"/>
                <w:b w:val="0"/>
                <w:bCs w:val="0"/>
                <w:sz w:val="20"/>
                <w:szCs w:val="20"/>
                <w:lang w:val="bs-Latn-BA"/>
              </w:rPr>
            </w:pPr>
          </w:p>
          <w:p w14:paraId="38D3B45E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D261B9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Trajanje</w:t>
            </w:r>
            <w:r w:rsidRPr="00D261B9">
              <w:rPr>
                <w:color w:val="auto"/>
                <w:lang w:val="bs-Latn-BA"/>
              </w:rPr>
              <w:t xml:space="preserve"> </w:t>
            </w:r>
            <w:r w:rsidRPr="00D261B9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obuke 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2CBB5C62" w14:textId="77777777" w:rsidR="007E3D31" w:rsidRPr="00D40C38" w:rsidRDefault="007E3D31" w:rsidP="00C23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53AA0CBA" w14:textId="61B0A722" w:rsidR="00036816" w:rsidRPr="006C5B7F" w:rsidRDefault="007051C4" w:rsidP="00036816">
            <w:pPr>
              <w:pStyle w:val="Paragrafspisk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7051C4">
              <w:rPr>
                <w:rFonts w:ascii="Cambria" w:eastAsia="Calibri" w:hAnsi="Cambria" w:cs="Times New Roman"/>
                <w:sz w:val="20"/>
                <w:szCs w:val="20"/>
              </w:rPr>
              <w:t xml:space="preserve">Klasična obuka u učionici: </w:t>
            </w:r>
            <w:r w:rsidR="00036816">
              <w:rPr>
                <w:rFonts w:ascii="Cambria" w:eastAsia="Calibri" w:hAnsi="Cambria" w:cs="Times New Roman"/>
                <w:sz w:val="20"/>
                <w:szCs w:val="20"/>
              </w:rPr>
              <w:t>16</w:t>
            </w:r>
            <w:r w:rsidRPr="007051C4">
              <w:rPr>
                <w:rFonts w:ascii="Cambria" w:eastAsia="Calibri" w:hAnsi="Cambria" w:cs="Times New Roman"/>
                <w:sz w:val="20"/>
                <w:szCs w:val="20"/>
              </w:rPr>
              <w:t xml:space="preserve"> akademskih sati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,</w:t>
            </w:r>
            <w:r w:rsidRPr="007051C4">
              <w:rPr>
                <w:rFonts w:ascii="Cambria" w:eastAsia="Calibri" w:hAnsi="Cambria" w:cs="Times New Roman"/>
                <w:sz w:val="20"/>
                <w:szCs w:val="20"/>
              </w:rPr>
              <w:t xml:space="preserve"> to jest obuka u trajanju od </w:t>
            </w:r>
            <w:r w:rsidR="00036816" w:rsidRPr="006C5B7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od 2 dana po 8 akademskih sati</w:t>
            </w:r>
          </w:p>
          <w:p w14:paraId="165D9E41" w14:textId="526A0A9F" w:rsidR="007E3D31" w:rsidRPr="00D261B9" w:rsidRDefault="007051C4" w:rsidP="007051C4">
            <w:pPr>
              <w:pStyle w:val="Paragrafspisk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7051C4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>•</w:t>
            </w:r>
            <w:r w:rsidRPr="007051C4">
              <w:rPr>
                <w:rFonts w:ascii="Cambria" w:eastAsia="Calibri" w:hAnsi="Cambria" w:cs="Times New Roman"/>
                <w:sz w:val="20"/>
                <w:szCs w:val="20"/>
                <w:lang w:val="en-US"/>
              </w:rPr>
              <w:tab/>
              <w:t xml:space="preserve">Webinar: </w:t>
            </w:r>
            <w:r w:rsidR="000B28CA" w:rsidRPr="006C5B7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10 akademskih sati, to jest 2 dana po 5 akademskih sati</w:t>
            </w:r>
            <w:r w:rsidR="000B28CA" w:rsidRPr="006C5B7F" w:rsidDel="006C5B7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 xml:space="preserve"> </w:t>
            </w:r>
            <w:r w:rsidR="000B28CA" w:rsidRPr="006C5B7F">
              <w:rPr>
                <w:rFonts w:ascii="Cambria" w:hAnsi="Cambria"/>
                <w:sz w:val="20"/>
                <w:szCs w:val="20"/>
                <w:lang w:val="hr-BA"/>
              </w:rPr>
              <w:t xml:space="preserve"> </w:t>
            </w:r>
          </w:p>
        </w:tc>
      </w:tr>
      <w:tr w:rsidR="007E3D31" w:rsidRPr="00D40C38" w14:paraId="7D638173" w14:textId="77777777" w:rsidTr="00C23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5829C7BF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5E0DD40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E3D0475" w14:textId="418F59E1" w:rsidR="007E3D31" w:rsidRPr="00D40C38" w:rsidRDefault="007E3D31" w:rsidP="00F1256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Opis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65E0D54B" w14:textId="3966FF6B" w:rsidR="007E3D31" w:rsidRPr="00D40C38" w:rsidRDefault="007051C4" w:rsidP="00C23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es-ES"/>
              </w:rPr>
            </w:pP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IPA II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I</w:t>
            </w: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instrument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pre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t</w:t>
            </w: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pristupne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pomoći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EU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za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period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20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2</w:t>
            </w: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1-202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7</w:t>
            </w:r>
            <w:r w:rsidR="000B28CA">
              <w:rPr>
                <w:rFonts w:ascii="Cambria" w:eastAsia="Arial Unicode MS" w:hAnsi="Cambria"/>
                <w:sz w:val="20"/>
                <w:szCs w:val="20"/>
                <w:lang w:val="es-ES"/>
              </w:rPr>
              <w:t>.</w:t>
            </w: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koji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se s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aspekta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planiranja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pomoći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razlikuje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od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IPA 20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14</w:t>
            </w: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-20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20</w:t>
            </w:r>
            <w:r w:rsidR="000B28CA">
              <w:rPr>
                <w:rFonts w:ascii="Cambria" w:eastAsia="Arial Unicode MS" w:hAnsi="Cambria"/>
                <w:sz w:val="20"/>
                <w:szCs w:val="20"/>
                <w:lang w:val="es-ES"/>
              </w:rPr>
              <w:t>.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(IPA II)</w:t>
            </w:r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. IPA</w:t>
            </w:r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III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nastavlja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planiranje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programiranje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projekata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na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osnovu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strateškog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sektorskog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pristupa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Za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razliku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od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prethodnog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instrumenta, IPA III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ne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predviđa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pripremu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sektorskih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planskih</w:t>
            </w:r>
            <w:proofErr w:type="spellEnd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33897">
              <w:rPr>
                <w:rFonts w:ascii="Cambria" w:eastAsia="Arial Unicode MS" w:hAnsi="Cambria"/>
                <w:sz w:val="20"/>
                <w:szCs w:val="20"/>
                <w:lang w:val="es-ES"/>
              </w:rPr>
              <w:t>dokumenata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za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svaki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sektor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već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predviđa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pripremu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jednog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strateškog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planskog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dokumenta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koji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će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obuhvatiti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sve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ključne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prioritete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i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akcije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projekte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periodu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od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 xml:space="preserve"> 2021. do 2027. </w:t>
            </w:r>
            <w:proofErr w:type="spellStart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godine</w:t>
            </w:r>
            <w:proofErr w:type="spellEnd"/>
            <w:r>
              <w:rPr>
                <w:rFonts w:ascii="Cambria" w:eastAsia="Arial Unicode MS" w:hAnsi="Cambria"/>
                <w:sz w:val="20"/>
                <w:szCs w:val="20"/>
                <w:lang w:val="es-ES"/>
              </w:rPr>
              <w:t>.</w:t>
            </w:r>
          </w:p>
        </w:tc>
      </w:tr>
      <w:tr w:rsidR="007E3D31" w:rsidRPr="00D40C38" w14:paraId="5BD65ADF" w14:textId="77777777" w:rsidTr="00C23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D6A057F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Ciljevi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58DA2581" w14:textId="77777777" w:rsidR="007051C4" w:rsidRPr="001F47BF" w:rsidRDefault="007051C4" w:rsidP="007051C4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Upoznati polaznike sa razlikama između instrumenta  IPA II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i IPA III.</w:t>
            </w:r>
          </w:p>
          <w:p w14:paraId="7B8F418C" w14:textId="3F618DCD" w:rsidR="007051C4" w:rsidRDefault="007051C4" w:rsidP="007051C4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 w:rsidRPr="00EB4665">
              <w:rPr>
                <w:rFonts w:ascii="Cambria" w:eastAsia="Arial Unicode MS" w:hAnsi="Cambria"/>
                <w:sz w:val="20"/>
                <w:szCs w:val="20"/>
                <w:lang w:val="hr-HR"/>
              </w:rPr>
              <w:t>Upoznati polaznike sa konceptom IPA II</w:t>
            </w:r>
            <w:r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I </w:t>
            </w:r>
            <w:r w:rsidRPr="00EB4665">
              <w:rPr>
                <w:rFonts w:ascii="Cambria" w:eastAsia="Arial Unicode MS" w:hAnsi="Cambria"/>
                <w:sz w:val="20"/>
                <w:szCs w:val="20"/>
                <w:lang w:val="hr-HR"/>
              </w:rPr>
              <w:t>u planiranju i programiranju pomoći, uključujući glavne elemente</w:t>
            </w:r>
            <w:r w:rsidR="00F1256A">
              <w:rPr>
                <w:rFonts w:ascii="Cambria" w:eastAsia="Arial Unicode MS" w:hAnsi="Cambria"/>
                <w:sz w:val="20"/>
                <w:szCs w:val="20"/>
                <w:lang w:val="hr-HR"/>
              </w:rPr>
              <w:t>,</w:t>
            </w:r>
            <w:r w:rsidRPr="00EB4665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prav</w:t>
            </w:r>
            <w:r w:rsidR="00F1256A">
              <w:rPr>
                <w:rFonts w:ascii="Cambria" w:eastAsia="Arial Unicode MS" w:hAnsi="Cambria"/>
                <w:sz w:val="20"/>
                <w:szCs w:val="20"/>
                <w:lang w:val="hr-HR"/>
              </w:rPr>
              <w:t>n</w:t>
            </w:r>
            <w:r w:rsidR="000653BF">
              <w:rPr>
                <w:rFonts w:ascii="Cambria" w:eastAsia="Arial Unicode MS" w:hAnsi="Cambria"/>
                <w:sz w:val="20"/>
                <w:szCs w:val="20"/>
                <w:lang w:val="hr-HR"/>
              </w:rPr>
              <w:t>i i strateški okvir te osnovne</w:t>
            </w:r>
            <w:r w:rsidRPr="00EB4665">
              <w:rPr>
                <w:rFonts w:ascii="Cambria" w:eastAsia="Arial Unicode MS" w:hAnsi="Cambria"/>
                <w:sz w:val="20"/>
                <w:szCs w:val="20"/>
                <w:lang w:val="hr-HR"/>
              </w:rPr>
              <w:t xml:space="preserve"> projektne dokumente.</w:t>
            </w:r>
          </w:p>
          <w:p w14:paraId="43DD9FC7" w14:textId="60A85E0D" w:rsidR="007051C4" w:rsidRPr="001F47BF" w:rsidRDefault="007051C4" w:rsidP="007051C4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Upoznati polaznike s okvirom u kojem se realiz</w:t>
            </w:r>
            <w:r w:rsidR="000B28CA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uje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IPA II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I</w:t>
            </w:r>
            <w:r w:rsidR="00F1256A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te fazama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i dokumen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tima koji prate ovaj instrument.</w:t>
            </w:r>
          </w:p>
          <w:p w14:paraId="007389D2" w14:textId="77777777" w:rsidR="007E3D31" w:rsidRPr="000B28CA" w:rsidRDefault="000B28CA" w:rsidP="007051C4">
            <w:pPr>
              <w:numPr>
                <w:ilvl w:val="0"/>
                <w:numId w:val="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  <w:r w:rsidRPr="006C5B7F">
              <w:rPr>
                <w:rFonts w:ascii="Cambria" w:eastAsia="Arial Unicode MS" w:hAnsi="Cambria"/>
                <w:noProof/>
                <w:sz w:val="20"/>
                <w:szCs w:val="20"/>
                <w:lang w:val="hr-BA" w:eastAsia="bs-Latn-BA"/>
              </w:rPr>
              <w:t xml:space="preserve">Kroz rad na praktičnim primjerima polaznicima 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BA" w:eastAsia="bs-Latn-BA"/>
              </w:rPr>
              <w:t>p</w:t>
            </w:r>
            <w:r w:rsidR="007051C4"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renijeti znanja o izradi</w:t>
            </w:r>
            <w:r w:rsidR="007051C4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stratešk</w:t>
            </w:r>
            <w:r w:rsidR="000653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og odgovora (SR), akcionih</w:t>
            </w:r>
            <w:r w:rsidR="007051C4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dokumenata (AD) i idejnih prijedloga (AF).</w:t>
            </w:r>
          </w:p>
          <w:p w14:paraId="4A989D46" w14:textId="1269D094" w:rsidR="000B28CA" w:rsidRPr="00D40C38" w:rsidRDefault="000B28CA" w:rsidP="000B28CA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7E3D31" w:rsidRPr="00D40C38" w14:paraId="1D52BB9B" w14:textId="77777777" w:rsidTr="00C23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4969120D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</w:p>
          <w:p w14:paraId="5EE64BEC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</w:p>
          <w:p w14:paraId="43FB7659" w14:textId="3B47A4B1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Ciljna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B28CA">
              <w:rPr>
                <w:rFonts w:ascii="Cambria" w:hAnsi="Cambria"/>
                <w:color w:val="auto"/>
                <w:sz w:val="20"/>
                <w:szCs w:val="20"/>
              </w:rPr>
              <w:t>grupa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polaznika</w:t>
            </w:r>
            <w:proofErr w:type="spellEnd"/>
          </w:p>
        </w:tc>
        <w:tc>
          <w:tcPr>
            <w:tcW w:w="11605" w:type="dxa"/>
            <w:shd w:val="clear" w:color="auto" w:fill="F2F2F2" w:themeFill="background1" w:themeFillShade="F2"/>
          </w:tcPr>
          <w:p w14:paraId="3B6B2682" w14:textId="77777777" w:rsidR="000653BF" w:rsidRPr="000653BF" w:rsidRDefault="000653BF" w:rsidP="000653BF">
            <w:pPr>
              <w:numPr>
                <w:ilvl w:val="0"/>
                <w:numId w:val="1"/>
              </w:num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Članovi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tijela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u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sistemu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koordinacije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procesa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evropskih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integracija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ostalih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struktura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uspostavljenih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za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potrebe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procesa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evropskih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integracija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državni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službenici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koji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obavljaju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poslove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  <w:p w14:paraId="18B12FF5" w14:textId="77777777" w:rsidR="000653BF" w:rsidRPr="000653BF" w:rsidRDefault="000653BF" w:rsidP="000653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es-ES"/>
              </w:rPr>
            </w:pP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strateškog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planiranja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programiranja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monitoringa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evaluacije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pomoći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EU.</w:t>
            </w:r>
          </w:p>
          <w:p w14:paraId="33FD73DD" w14:textId="4807137F" w:rsidR="007E3D31" w:rsidRPr="00914617" w:rsidRDefault="000653BF" w:rsidP="000653BF">
            <w:pPr>
              <w:pStyle w:val="Paragrafspisk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es-ES"/>
              </w:rPr>
            </w:pP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Naučni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stručni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radnici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studenti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dodiplomskih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poslijediplomskih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doktorskih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studija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oblasti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evropskih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integracija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novinari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predstavnici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nevladinih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organizacija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uposleni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javnim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</w:t>
            </w:r>
            <w:r w:rsidR="000B28CA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re</w:t>
            </w:r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duzećima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nezaposleni</w:t>
            </w:r>
            <w:proofErr w:type="spellEnd"/>
            <w:r w:rsidRPr="000653BF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.</w:t>
            </w:r>
          </w:p>
        </w:tc>
      </w:tr>
      <w:tr w:rsidR="007E3D31" w:rsidRPr="00D40C38" w14:paraId="2466B5BE" w14:textId="77777777" w:rsidTr="00C23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9F3E661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6CD9CC23" w14:textId="77777777" w:rsidR="007E3D31" w:rsidRPr="00D261B9" w:rsidRDefault="007E3D31" w:rsidP="00C2331E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Ishodi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učenja</w:t>
            </w:r>
            <w:proofErr w:type="spellEnd"/>
          </w:p>
          <w:p w14:paraId="7A793DB1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2F9678E1" w14:textId="5283B964" w:rsidR="007051C4" w:rsidRPr="00033897" w:rsidRDefault="007051C4" w:rsidP="007051C4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Polaznici su upoznati s</w:t>
            </w:r>
            <w:r w:rsidR="000B28CA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a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promjenam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a u pristupu koji donosi IPA III.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</w:t>
            </w:r>
          </w:p>
          <w:p w14:paraId="53AA6C67" w14:textId="77777777" w:rsidR="007051C4" w:rsidRPr="007051C4" w:rsidRDefault="007051C4" w:rsidP="007051C4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Polaznici razumiju koncept, pristup i pravila programiranja IPA II</w:t>
            </w:r>
            <w:r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>I.</w:t>
            </w:r>
            <w:r w:rsidRPr="001F47BF">
              <w:rPr>
                <w:rFonts w:ascii="Cambria" w:eastAsia="Arial Unicode MS" w:hAnsi="Cambria"/>
                <w:noProof/>
                <w:sz w:val="20"/>
                <w:szCs w:val="20"/>
                <w:lang w:val="hr-HR" w:eastAsia="bs-Latn-BA"/>
              </w:rPr>
              <w:t xml:space="preserve"> </w:t>
            </w:r>
          </w:p>
          <w:p w14:paraId="654BB4DF" w14:textId="25FDE1E8" w:rsidR="007E3D31" w:rsidRPr="007051C4" w:rsidRDefault="007051C4" w:rsidP="007051C4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Polaznici</w:t>
            </w:r>
            <w:proofErr w:type="spellEnd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 xml:space="preserve"> su </w:t>
            </w:r>
            <w:proofErr w:type="spellStart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osposobljeni</w:t>
            </w:r>
            <w:proofErr w:type="spellEnd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za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>učešće</w:t>
            </w:r>
            <w:proofErr w:type="spellEnd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procesu</w:t>
            </w:r>
            <w:proofErr w:type="spellEnd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izrade</w:t>
            </w:r>
            <w:proofErr w:type="spellEnd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="000B28CA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AF</w:t>
            </w:r>
            <w:proofErr w:type="gramEnd"/>
            <w:r w:rsidRPr="007051C4">
              <w:rPr>
                <w:rFonts w:ascii="Cambria" w:hAnsi="Cambria"/>
                <w:sz w:val="20"/>
                <w:szCs w:val="20"/>
                <w:lang w:val="es-ES"/>
              </w:rPr>
              <w:t>-ova i AD-ova.</w:t>
            </w:r>
          </w:p>
        </w:tc>
      </w:tr>
      <w:tr w:rsidR="007E3D31" w:rsidRPr="00D40C38" w14:paraId="49FF7C10" w14:textId="77777777" w:rsidTr="00C23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356EEA0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090D373C" w14:textId="77777777" w:rsidR="007E3D31" w:rsidRPr="00D261B9" w:rsidRDefault="007E3D31" w:rsidP="00C2331E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Metode </w:t>
            </w:r>
            <w:proofErr w:type="spellStart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izvedbe</w:t>
            </w:r>
            <w:proofErr w:type="spellEnd"/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auto"/>
                <w:sz w:val="20"/>
                <w:szCs w:val="20"/>
              </w:rPr>
              <w:t>o</w:t>
            </w:r>
            <w:r w:rsidRPr="00D261B9">
              <w:rPr>
                <w:rFonts w:ascii="Cambria" w:hAnsi="Cambria"/>
                <w:color w:val="auto"/>
                <w:sz w:val="20"/>
                <w:szCs w:val="20"/>
              </w:rPr>
              <w:t>buke</w:t>
            </w:r>
            <w:proofErr w:type="spellEnd"/>
          </w:p>
          <w:p w14:paraId="5B0CBABC" w14:textId="77777777" w:rsidR="007E3D31" w:rsidRPr="00D40C38" w:rsidRDefault="007E3D31" w:rsidP="00C233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12649225" w14:textId="4C0D8661" w:rsidR="007E3D31" w:rsidRDefault="007E3D31" w:rsidP="00C2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Obuka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se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može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držati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kao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klasična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obuka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učionici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ili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webinar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.</w:t>
            </w:r>
          </w:p>
          <w:p w14:paraId="3DE924B5" w14:textId="77777777" w:rsidR="007051C4" w:rsidRPr="00D40C38" w:rsidRDefault="007051C4" w:rsidP="00C2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374752BC" w14:textId="6463364C" w:rsidR="007E3D31" w:rsidRDefault="007E3D31" w:rsidP="00C2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>Teorijski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 xml:space="preserve"> dio (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>prezentacije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 xml:space="preserve">) i 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>praktični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 xml:space="preserve"> dio (</w:t>
            </w:r>
            <w:proofErr w:type="spellStart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>vježbe</w:t>
            </w:r>
            <w:proofErr w:type="spellEnd"/>
            <w:r w:rsidRPr="00D40C38">
              <w:rPr>
                <w:rFonts w:ascii="Cambria" w:hAnsi="Cambria"/>
                <w:sz w:val="20"/>
                <w:szCs w:val="20"/>
                <w:lang w:val="es-ES"/>
              </w:rPr>
              <w:t>).</w:t>
            </w:r>
          </w:p>
          <w:p w14:paraId="4D26F90B" w14:textId="77777777" w:rsidR="000B28CA" w:rsidRDefault="000B28CA" w:rsidP="00C2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6F02A888" w14:textId="77777777" w:rsidR="000B28CA" w:rsidRDefault="000B28CA" w:rsidP="000B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Prvi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dan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obuke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(8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akademskih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sati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) je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teorijski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, a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drugi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dan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obuke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(8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akademskih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sati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) je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praktični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rad.</w:t>
            </w:r>
          </w:p>
          <w:p w14:paraId="54084FE8" w14:textId="77777777" w:rsidR="000B28CA" w:rsidRDefault="000B28CA" w:rsidP="000B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Praktični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dio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sastoji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od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rada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konkretnim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primjerima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s-ES"/>
              </w:rPr>
              <w:t>izrade</w:t>
            </w:r>
            <w:proofErr w:type="spellEnd"/>
            <w:r>
              <w:rPr>
                <w:rFonts w:ascii="Cambria" w:hAnsi="Cambria"/>
                <w:sz w:val="20"/>
                <w:szCs w:val="20"/>
                <w:lang w:val="es-ES"/>
              </w:rPr>
              <w:t xml:space="preserve"> SR-a, AF-a i AD-a.</w:t>
            </w:r>
          </w:p>
          <w:p w14:paraId="016B18EF" w14:textId="77777777" w:rsidR="007051C4" w:rsidRDefault="007051C4" w:rsidP="00C23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4696B6B4" w14:textId="0A5AC1E3" w:rsidR="007E3D31" w:rsidRDefault="007E3D31" w:rsidP="00C23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Ukoliko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se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obuka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drži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formi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webinara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skraćenje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njenog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trajanja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tre</w:t>
            </w:r>
            <w:r w:rsidR="000653BF">
              <w:rPr>
                <w:rFonts w:ascii="Cambria" w:hAnsi="Cambria"/>
                <w:sz w:val="20"/>
                <w:szCs w:val="20"/>
                <w:lang w:val="es-ES"/>
              </w:rPr>
              <w:t>ba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>biti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>provedeno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>na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>način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da se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osigura</w:t>
            </w:r>
            <w:proofErr w:type="spellEnd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653BF">
              <w:rPr>
                <w:rFonts w:ascii="Cambria" w:hAnsi="Cambria"/>
                <w:sz w:val="20"/>
                <w:szCs w:val="20"/>
                <w:lang w:val="es-ES"/>
              </w:rPr>
              <w:t>proporcionalno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pokrivanje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cjelokupnog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sadržaja</w:t>
            </w:r>
            <w:proofErr w:type="spellEnd"/>
            <w:r w:rsidRPr="00D261B9">
              <w:rPr>
                <w:rFonts w:ascii="Cambria" w:hAnsi="Cambria"/>
                <w:sz w:val="20"/>
                <w:szCs w:val="20"/>
                <w:lang w:val="es-ES"/>
              </w:rPr>
              <w:t>.</w:t>
            </w:r>
          </w:p>
          <w:p w14:paraId="463DC01A" w14:textId="04A8461F" w:rsidR="007051C4" w:rsidRPr="00D40C38" w:rsidRDefault="007051C4" w:rsidP="00C23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es-ES"/>
              </w:rPr>
            </w:pPr>
          </w:p>
        </w:tc>
      </w:tr>
    </w:tbl>
    <w:p w14:paraId="1FCBC3BF" w14:textId="77777777" w:rsidR="00560410" w:rsidRDefault="00560410"/>
    <w:sectPr w:rsidR="00560410" w:rsidSect="007E3D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F335" w14:textId="77777777" w:rsidR="00D173A2" w:rsidRDefault="00D173A2" w:rsidP="007E3D31">
      <w:pPr>
        <w:spacing w:after="0" w:line="240" w:lineRule="auto"/>
      </w:pPr>
      <w:r>
        <w:separator/>
      </w:r>
    </w:p>
  </w:endnote>
  <w:endnote w:type="continuationSeparator" w:id="0">
    <w:p w14:paraId="10A5B855" w14:textId="77777777" w:rsidR="00D173A2" w:rsidRDefault="00D173A2" w:rsidP="007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18BE" w14:textId="77777777" w:rsidR="00D173A2" w:rsidRDefault="00D173A2" w:rsidP="007E3D31">
      <w:pPr>
        <w:spacing w:after="0" w:line="240" w:lineRule="auto"/>
      </w:pPr>
      <w:r>
        <w:separator/>
      </w:r>
    </w:p>
  </w:footnote>
  <w:footnote w:type="continuationSeparator" w:id="0">
    <w:p w14:paraId="76C4590D" w14:textId="77777777" w:rsidR="00D173A2" w:rsidRDefault="00D173A2" w:rsidP="007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10796"/>
    <w:multiLevelType w:val="hybridMultilevel"/>
    <w:tmpl w:val="2CF4F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7AC"/>
    <w:multiLevelType w:val="hybridMultilevel"/>
    <w:tmpl w:val="8146D00E"/>
    <w:lvl w:ilvl="0" w:tplc="576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211F"/>
    <w:multiLevelType w:val="hybridMultilevel"/>
    <w:tmpl w:val="5A02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5E51"/>
    <w:multiLevelType w:val="hybridMultilevel"/>
    <w:tmpl w:val="86E68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73CD2"/>
    <w:multiLevelType w:val="hybridMultilevel"/>
    <w:tmpl w:val="9866F444"/>
    <w:lvl w:ilvl="0" w:tplc="6BC835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80D60"/>
    <w:multiLevelType w:val="hybridMultilevel"/>
    <w:tmpl w:val="7DE64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6478"/>
    <w:multiLevelType w:val="hybridMultilevel"/>
    <w:tmpl w:val="F2A2E718"/>
    <w:lvl w:ilvl="0" w:tplc="D2BCF90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482810"/>
    <w:multiLevelType w:val="hybridMultilevel"/>
    <w:tmpl w:val="143203B8"/>
    <w:lvl w:ilvl="0" w:tplc="377E2CFC">
      <w:start w:val="2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D7A6C"/>
    <w:multiLevelType w:val="hybridMultilevel"/>
    <w:tmpl w:val="CB6EE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7AB8"/>
    <w:multiLevelType w:val="hybridMultilevel"/>
    <w:tmpl w:val="741E06FC"/>
    <w:lvl w:ilvl="0" w:tplc="47D8B0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3405E"/>
    <w:multiLevelType w:val="hybridMultilevel"/>
    <w:tmpl w:val="32A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F68"/>
    <w:multiLevelType w:val="hybridMultilevel"/>
    <w:tmpl w:val="4D7AC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8966">
    <w:abstractNumId w:val="10"/>
  </w:num>
  <w:num w:numId="2" w16cid:durableId="17126619">
    <w:abstractNumId w:val="8"/>
  </w:num>
  <w:num w:numId="3" w16cid:durableId="500893017">
    <w:abstractNumId w:val="13"/>
  </w:num>
  <w:num w:numId="4" w16cid:durableId="1626933701">
    <w:abstractNumId w:val="7"/>
  </w:num>
  <w:num w:numId="5" w16cid:durableId="671875835">
    <w:abstractNumId w:val="5"/>
  </w:num>
  <w:num w:numId="6" w16cid:durableId="1916626630">
    <w:abstractNumId w:val="1"/>
  </w:num>
  <w:num w:numId="7" w16cid:durableId="1726441046">
    <w:abstractNumId w:val="12"/>
  </w:num>
  <w:num w:numId="8" w16cid:durableId="2046513972">
    <w:abstractNumId w:val="11"/>
  </w:num>
  <w:num w:numId="9" w16cid:durableId="225772879">
    <w:abstractNumId w:val="2"/>
  </w:num>
  <w:num w:numId="10" w16cid:durableId="391663486">
    <w:abstractNumId w:val="4"/>
  </w:num>
  <w:num w:numId="11" w16cid:durableId="1546478815">
    <w:abstractNumId w:val="0"/>
  </w:num>
  <w:num w:numId="12" w16cid:durableId="1040862333">
    <w:abstractNumId w:val="6"/>
  </w:num>
  <w:num w:numId="13" w16cid:durableId="1058669094">
    <w:abstractNumId w:val="9"/>
  </w:num>
  <w:num w:numId="14" w16cid:durableId="679552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97"/>
    <w:rsid w:val="00033A18"/>
    <w:rsid w:val="00036816"/>
    <w:rsid w:val="000653BF"/>
    <w:rsid w:val="000876B1"/>
    <w:rsid w:val="000B28CA"/>
    <w:rsid w:val="001C1B41"/>
    <w:rsid w:val="00200097"/>
    <w:rsid w:val="00560410"/>
    <w:rsid w:val="005A5FC1"/>
    <w:rsid w:val="007051C4"/>
    <w:rsid w:val="007E3D31"/>
    <w:rsid w:val="007F4964"/>
    <w:rsid w:val="00914617"/>
    <w:rsid w:val="00AE31AB"/>
    <w:rsid w:val="00AF23FC"/>
    <w:rsid w:val="00D173A2"/>
    <w:rsid w:val="00D35313"/>
    <w:rsid w:val="00ED11BB"/>
    <w:rsid w:val="00F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5775"/>
  <w15:chartTrackingRefBased/>
  <w15:docId w15:val="{D4101664-7F77-49B1-831D-889D990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Referencakomentara">
    <w:name w:val="annotation reference"/>
    <w:basedOn w:val="Zadanifontparagrafa"/>
    <w:uiPriority w:val="99"/>
    <w:semiHidden/>
    <w:unhideWhenUsed/>
    <w:rsid w:val="007E3D31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7E3D31"/>
    <w:pPr>
      <w:spacing w:line="240" w:lineRule="auto"/>
    </w:pPr>
    <w:rPr>
      <w:sz w:val="20"/>
      <w:szCs w:val="20"/>
      <w:lang w:val="bs-Latn-BA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7E3D31"/>
    <w:rPr>
      <w:sz w:val="20"/>
      <w:szCs w:val="20"/>
      <w:lang w:val="bs-Latn-BA"/>
    </w:rPr>
  </w:style>
  <w:style w:type="paragraph" w:styleId="Paragrafspiska">
    <w:name w:val="List Paragraph"/>
    <w:basedOn w:val="Normalno"/>
    <w:uiPriority w:val="34"/>
    <w:qFormat/>
    <w:rsid w:val="007E3D31"/>
    <w:pPr>
      <w:ind w:left="720"/>
      <w:contextualSpacing/>
    </w:pPr>
    <w:rPr>
      <w:lang w:val="bs-Latn-BA"/>
    </w:rPr>
  </w:style>
  <w:style w:type="table" w:customStyle="1" w:styleId="GridTable5Dark-Accent13">
    <w:name w:val="Grid Table 5 Dark - Accent 13"/>
    <w:basedOn w:val="Normalnatabela"/>
    <w:next w:val="Normalnatabela"/>
    <w:uiPriority w:val="50"/>
    <w:rsid w:val="007E3D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ubalonu">
    <w:name w:val="Balloon Text"/>
    <w:basedOn w:val="Normalno"/>
    <w:link w:val="TekstubalonuZnak"/>
    <w:uiPriority w:val="99"/>
    <w:semiHidden/>
    <w:unhideWhenUsed/>
    <w:rsid w:val="007E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E3D31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no"/>
    <w:link w:val="TekstfusnoteZnak"/>
    <w:uiPriority w:val="99"/>
    <w:semiHidden/>
    <w:unhideWhenUsed/>
    <w:rsid w:val="007E3D31"/>
    <w:pPr>
      <w:spacing w:after="0" w:line="240" w:lineRule="auto"/>
    </w:pPr>
    <w:rPr>
      <w:sz w:val="20"/>
      <w:szCs w:val="20"/>
    </w:rPr>
  </w:style>
  <w:style w:type="character" w:customStyle="1" w:styleId="TekstfusnoteZnak">
    <w:name w:val="Tekst fusnote Znak"/>
    <w:basedOn w:val="Zadanifontparagrafa"/>
    <w:link w:val="Tekstfusnote"/>
    <w:uiPriority w:val="99"/>
    <w:semiHidden/>
    <w:rsid w:val="007E3D31"/>
    <w:rPr>
      <w:sz w:val="20"/>
      <w:szCs w:val="20"/>
    </w:rPr>
  </w:style>
  <w:style w:type="character" w:styleId="Referencafusnote">
    <w:name w:val="footnote reference"/>
    <w:basedOn w:val="Zadanifontparagrafa"/>
    <w:uiPriority w:val="99"/>
    <w:semiHidden/>
    <w:unhideWhenUsed/>
    <w:rsid w:val="007E3D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3</cp:revision>
  <cp:lastPrinted>2021-01-18T16:11:00Z</cp:lastPrinted>
  <dcterms:created xsi:type="dcterms:W3CDTF">2024-01-25T13:50:00Z</dcterms:created>
  <dcterms:modified xsi:type="dcterms:W3CDTF">2024-01-25T13:56:00Z</dcterms:modified>
</cp:coreProperties>
</file>