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5Dark-Accent13"/>
        <w:tblW w:w="0" w:type="auto"/>
        <w:shd w:val="clear" w:color="auto" w:fill="F2F2F2" w:themeFill="background1" w:themeFillShade="F2"/>
        <w:tblLook w:val="04A0" w:firstRow="1" w:lastRow="0" w:firstColumn="1" w:lastColumn="0" w:noHBand="0" w:noVBand="1"/>
      </w:tblPr>
      <w:tblGrid>
        <w:gridCol w:w="2168"/>
        <w:gridCol w:w="10782"/>
      </w:tblGrid>
      <w:tr w:rsidR="006C5B7F" w:rsidRPr="006C5B7F" w14:paraId="6057B389" w14:textId="77777777" w:rsidTr="000E10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2F2F2" w:themeFill="background1" w:themeFillShade="F2"/>
          </w:tcPr>
          <w:p w14:paraId="74BBE45B" w14:textId="77777777" w:rsidR="006C5B7F" w:rsidRPr="006C5B7F" w:rsidRDefault="006C5B7F" w:rsidP="000E1094">
            <w:pPr>
              <w:jc w:val="center"/>
              <w:rPr>
                <w:rFonts w:ascii="Cambria" w:hAnsi="Cambria"/>
                <w:sz w:val="20"/>
                <w:szCs w:val="20"/>
                <w:lang w:val="hr-BA"/>
              </w:rPr>
            </w:pPr>
            <w:r w:rsidRPr="006C5B7F">
              <w:rPr>
                <w:rFonts w:ascii="Cambria" w:hAnsi="Cambria"/>
                <w:color w:val="auto"/>
                <w:sz w:val="20"/>
                <w:szCs w:val="20"/>
                <w:lang w:val="hr-BA"/>
              </w:rPr>
              <w:t>Naziv obuke</w:t>
            </w:r>
          </w:p>
        </w:tc>
        <w:tc>
          <w:tcPr>
            <w:tcW w:w="11605" w:type="dxa"/>
            <w:shd w:val="clear" w:color="auto" w:fill="F2F2F2" w:themeFill="background1" w:themeFillShade="F2"/>
          </w:tcPr>
          <w:p w14:paraId="673466C6" w14:textId="77777777" w:rsidR="006C5B7F" w:rsidRPr="006C5B7F" w:rsidRDefault="006C5B7F" w:rsidP="000E1094">
            <w:pPr>
              <w:ind w:left="60"/>
              <w:jc w:val="center"/>
              <w:cnfStyle w:val="100000000000" w:firstRow="1" w:lastRow="0" w:firstColumn="0" w:lastColumn="0" w:oddVBand="0" w:evenVBand="0" w:oddHBand="0" w:evenHBand="0" w:firstRowFirstColumn="0" w:firstRowLastColumn="0" w:lastRowFirstColumn="0" w:lastRowLastColumn="0"/>
              <w:rPr>
                <w:rFonts w:ascii="Cambria" w:hAnsi="Cambria"/>
                <w:sz w:val="28"/>
                <w:szCs w:val="28"/>
                <w:lang w:val="hr-BA"/>
              </w:rPr>
            </w:pPr>
            <w:r w:rsidRPr="006C5B7F">
              <w:rPr>
                <w:rFonts w:ascii="Cambria" w:hAnsi="Cambria"/>
                <w:color w:val="auto"/>
                <w:sz w:val="28"/>
                <w:szCs w:val="28"/>
                <w:lang w:val="hr-BA"/>
              </w:rPr>
              <w:t>f) PRIPREMA SPECIFIČNIH DOKUMENATA ZA KORIŠTENJE PRETPRISTUPNE POMOĆI EUROPSKE UNIJE</w:t>
            </w:r>
          </w:p>
        </w:tc>
      </w:tr>
      <w:tr w:rsidR="006C5B7F" w:rsidRPr="006C5B7F" w14:paraId="596CD1D2" w14:textId="77777777" w:rsidTr="000E1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2F2F2" w:themeFill="background1" w:themeFillShade="F2"/>
          </w:tcPr>
          <w:p w14:paraId="1F8F8768" w14:textId="77777777" w:rsidR="006C5B7F" w:rsidRPr="006C5B7F" w:rsidRDefault="006C5B7F" w:rsidP="000E1094">
            <w:pPr>
              <w:jc w:val="center"/>
              <w:rPr>
                <w:rFonts w:ascii="Cambria" w:hAnsi="Cambria"/>
                <w:sz w:val="20"/>
                <w:szCs w:val="20"/>
                <w:lang w:val="hr-BA"/>
              </w:rPr>
            </w:pPr>
          </w:p>
          <w:p w14:paraId="604A6530" w14:textId="77777777" w:rsidR="006C5B7F" w:rsidRPr="006C5B7F" w:rsidRDefault="006C5B7F" w:rsidP="000E1094">
            <w:pPr>
              <w:jc w:val="center"/>
              <w:rPr>
                <w:rFonts w:ascii="Cambria" w:hAnsi="Cambria"/>
                <w:sz w:val="20"/>
                <w:szCs w:val="20"/>
                <w:lang w:val="hr-BA"/>
              </w:rPr>
            </w:pPr>
          </w:p>
          <w:p w14:paraId="2118DC6C" w14:textId="77777777" w:rsidR="006C5B7F" w:rsidRPr="006C5B7F" w:rsidRDefault="006C5B7F" w:rsidP="000E1094">
            <w:pPr>
              <w:jc w:val="center"/>
              <w:rPr>
                <w:rFonts w:ascii="Cambria" w:hAnsi="Cambria"/>
                <w:sz w:val="20"/>
                <w:szCs w:val="20"/>
                <w:lang w:val="hr-BA"/>
              </w:rPr>
            </w:pPr>
          </w:p>
          <w:p w14:paraId="51CCE9FC" w14:textId="77777777" w:rsidR="006C5B7F" w:rsidRPr="006C5B7F" w:rsidRDefault="006C5B7F" w:rsidP="000E1094">
            <w:pPr>
              <w:jc w:val="center"/>
              <w:rPr>
                <w:rFonts w:ascii="Cambria" w:hAnsi="Cambria"/>
                <w:sz w:val="20"/>
                <w:szCs w:val="20"/>
                <w:lang w:val="hr-BA"/>
              </w:rPr>
            </w:pPr>
          </w:p>
          <w:p w14:paraId="3D393EB7" w14:textId="77777777" w:rsidR="006C5B7F" w:rsidRPr="006C5B7F" w:rsidRDefault="006C5B7F" w:rsidP="000E1094">
            <w:pPr>
              <w:jc w:val="center"/>
              <w:rPr>
                <w:rFonts w:ascii="Cambria" w:hAnsi="Cambria"/>
                <w:sz w:val="20"/>
                <w:szCs w:val="20"/>
                <w:lang w:val="hr-BA"/>
              </w:rPr>
            </w:pPr>
          </w:p>
          <w:p w14:paraId="5827C7F9" w14:textId="77777777" w:rsidR="006C5B7F" w:rsidRPr="006C5B7F" w:rsidRDefault="006C5B7F" w:rsidP="000E1094">
            <w:pPr>
              <w:jc w:val="center"/>
              <w:rPr>
                <w:rFonts w:ascii="Cambria" w:hAnsi="Cambria"/>
                <w:sz w:val="20"/>
                <w:szCs w:val="20"/>
                <w:lang w:val="hr-BA"/>
              </w:rPr>
            </w:pPr>
            <w:r w:rsidRPr="006C5B7F">
              <w:rPr>
                <w:rFonts w:ascii="Cambria" w:hAnsi="Cambria"/>
                <w:color w:val="auto"/>
                <w:sz w:val="20"/>
                <w:szCs w:val="20"/>
                <w:lang w:val="hr-BA"/>
              </w:rPr>
              <w:t>Sadržaj obuke</w:t>
            </w:r>
          </w:p>
        </w:tc>
        <w:tc>
          <w:tcPr>
            <w:tcW w:w="11605" w:type="dxa"/>
            <w:shd w:val="clear" w:color="auto" w:fill="F2F2F2" w:themeFill="background1" w:themeFillShade="F2"/>
          </w:tcPr>
          <w:p w14:paraId="092F7EF7" w14:textId="77777777" w:rsidR="006C5B7F" w:rsidRPr="006C5B7F" w:rsidRDefault="006C5B7F" w:rsidP="000E1094">
            <w:pPr>
              <w:pStyle w:val="Paragrafspiska"/>
              <w:numPr>
                <w:ilvl w:val="0"/>
                <w:numId w:val="8"/>
              </w:numPr>
              <w:cnfStyle w:val="000000100000" w:firstRow="0" w:lastRow="0" w:firstColumn="0" w:lastColumn="0" w:oddVBand="0" w:evenVBand="0" w:oddHBand="1" w:evenHBand="0" w:firstRowFirstColumn="0" w:firstRowLastColumn="0" w:lastRowFirstColumn="0" w:lastRowLastColumn="0"/>
              <w:rPr>
                <w:rFonts w:ascii="Cambria" w:eastAsia="Arial Unicode MS" w:hAnsi="Cambria"/>
                <w:b/>
                <w:noProof/>
                <w:sz w:val="20"/>
                <w:szCs w:val="20"/>
                <w:lang w:val="hr-BA" w:eastAsia="bs-Latn-BA"/>
              </w:rPr>
            </w:pPr>
            <w:r w:rsidRPr="006C5B7F">
              <w:rPr>
                <w:rFonts w:ascii="Cambria" w:eastAsia="Arial Unicode MS" w:hAnsi="Cambria"/>
                <w:b/>
                <w:noProof/>
                <w:sz w:val="20"/>
                <w:szCs w:val="20"/>
                <w:lang w:val="hr-BA" w:eastAsia="bs-Latn-BA"/>
              </w:rPr>
              <w:t xml:space="preserve">Glavne promjene i izazovi u IPA III : </w:t>
            </w:r>
          </w:p>
          <w:p w14:paraId="7E268598" w14:textId="7A49144E" w:rsidR="006C5B7F" w:rsidRPr="006C5B7F" w:rsidRDefault="006C5B7F" w:rsidP="000E1094">
            <w:pPr>
              <w:numPr>
                <w:ilvl w:val="0"/>
                <w:numId w:val="1"/>
              </w:numPr>
              <w:cnfStyle w:val="000000100000" w:firstRow="0" w:lastRow="0" w:firstColumn="0" w:lastColumn="0" w:oddVBand="0" w:evenVBand="0" w:oddHBand="1"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Osnovni elementi i promjene</w:t>
            </w:r>
            <w:r w:rsidRPr="006C5B7F">
              <w:rPr>
                <w:rFonts w:ascii="Cambria" w:eastAsia="Arial Unicode MS" w:hAnsi="Cambria"/>
                <w:i/>
                <w:noProof/>
                <w:sz w:val="20"/>
                <w:szCs w:val="20"/>
                <w:lang w:val="hr-BA" w:eastAsia="bs-Latn-BA"/>
              </w:rPr>
              <w:t xml:space="preserve"> </w:t>
            </w:r>
            <w:r w:rsidRPr="006C5B7F">
              <w:rPr>
                <w:rFonts w:ascii="Cambria" w:eastAsia="Arial Unicode MS" w:hAnsi="Cambria"/>
                <w:noProof/>
                <w:sz w:val="20"/>
                <w:szCs w:val="20"/>
                <w:lang w:val="hr-BA" w:eastAsia="bs-Latn-BA"/>
              </w:rPr>
              <w:t>u odnosu na IPA 2014</w:t>
            </w:r>
            <w:r w:rsidR="00453D02">
              <w:rPr>
                <w:rFonts w:ascii="Cambria" w:eastAsia="Arial Unicode MS" w:hAnsi="Cambria"/>
                <w:noProof/>
                <w:sz w:val="20"/>
                <w:szCs w:val="20"/>
                <w:lang w:val="hr-BA" w:eastAsia="bs-Latn-BA"/>
              </w:rPr>
              <w:t xml:space="preserve">. – </w:t>
            </w:r>
            <w:r w:rsidRPr="006C5B7F">
              <w:rPr>
                <w:rFonts w:ascii="Cambria" w:eastAsia="Arial Unicode MS" w:hAnsi="Cambria"/>
                <w:noProof/>
                <w:sz w:val="20"/>
                <w:szCs w:val="20"/>
                <w:lang w:val="hr-BA" w:eastAsia="bs-Latn-BA"/>
              </w:rPr>
              <w:t>2020</w:t>
            </w:r>
            <w:r w:rsidR="00453D02">
              <w:rPr>
                <w:rFonts w:ascii="Cambria" w:eastAsia="Arial Unicode MS" w:hAnsi="Cambria"/>
                <w:noProof/>
                <w:sz w:val="20"/>
                <w:szCs w:val="20"/>
                <w:lang w:val="hr-BA" w:eastAsia="bs-Latn-BA"/>
              </w:rPr>
              <w:t>.</w:t>
            </w:r>
            <w:r w:rsidRPr="006C5B7F">
              <w:rPr>
                <w:rFonts w:ascii="Cambria" w:eastAsia="Arial Unicode MS" w:hAnsi="Cambria"/>
                <w:noProof/>
                <w:sz w:val="20"/>
                <w:szCs w:val="20"/>
                <w:lang w:val="hr-BA" w:eastAsia="bs-Latn-BA"/>
              </w:rPr>
              <w:t xml:space="preserve"> </w:t>
            </w:r>
          </w:p>
          <w:p w14:paraId="26E01D71" w14:textId="77777777" w:rsidR="006C5B7F" w:rsidRPr="006C5B7F" w:rsidRDefault="006C5B7F" w:rsidP="000E1094">
            <w:pPr>
              <w:numPr>
                <w:ilvl w:val="0"/>
                <w:numId w:val="1"/>
              </w:numPr>
              <w:cnfStyle w:val="000000100000" w:firstRow="0" w:lastRow="0" w:firstColumn="0" w:lastColumn="0" w:oddVBand="0" w:evenVBand="0" w:oddHBand="1"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 xml:space="preserve">Specifična IPA III terminologija </w:t>
            </w:r>
          </w:p>
          <w:p w14:paraId="7ED65063" w14:textId="76D9547C" w:rsidR="006C5B7F" w:rsidRPr="006C5B7F" w:rsidRDefault="006C5B7F" w:rsidP="000E1094">
            <w:pPr>
              <w:numPr>
                <w:ilvl w:val="0"/>
                <w:numId w:val="1"/>
              </w:numPr>
              <w:contextualSpacing/>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r w:rsidRPr="006C5B7F">
              <w:rPr>
                <w:rFonts w:ascii="Cambria" w:eastAsia="Arial Unicode MS" w:hAnsi="Cambria"/>
                <w:noProof/>
                <w:sz w:val="20"/>
                <w:szCs w:val="20"/>
                <w:lang w:val="hr-BA" w:eastAsia="bs-Latn-BA"/>
              </w:rPr>
              <w:t>Osnovni elementi IPA III (zajednički strateški okvir, zajednički proračun i podjela sredstava, strateški dokument države korisnice pomoći EU - Strateški odgovor)</w:t>
            </w:r>
          </w:p>
          <w:p w14:paraId="7ED6EC15" w14:textId="77777777" w:rsidR="006C5B7F" w:rsidRPr="006C5B7F" w:rsidRDefault="006C5B7F" w:rsidP="000E1094">
            <w:pPr>
              <w:pStyle w:val="Paragrafspiska"/>
              <w:numPr>
                <w:ilvl w:val="0"/>
                <w:numId w:val="8"/>
              </w:numPr>
              <w:jc w:val="both"/>
              <w:cnfStyle w:val="000000100000" w:firstRow="0" w:lastRow="0" w:firstColumn="0" w:lastColumn="0" w:oddVBand="0" w:evenVBand="0" w:oddHBand="1" w:evenHBand="0" w:firstRowFirstColumn="0" w:firstRowLastColumn="0" w:lastRowFirstColumn="0" w:lastRowLastColumn="0"/>
              <w:rPr>
                <w:rFonts w:ascii="Cambria" w:eastAsia="Arial Unicode MS" w:hAnsi="Cambria"/>
                <w:b/>
                <w:noProof/>
                <w:sz w:val="20"/>
                <w:szCs w:val="20"/>
                <w:lang w:val="hr-BA" w:eastAsia="bs-Latn-BA"/>
              </w:rPr>
            </w:pPr>
            <w:r w:rsidRPr="006C5B7F">
              <w:rPr>
                <w:rFonts w:ascii="Cambria" w:eastAsia="Arial Unicode MS" w:hAnsi="Cambria"/>
                <w:b/>
                <w:noProof/>
                <w:sz w:val="20"/>
                <w:szCs w:val="20"/>
                <w:lang w:val="hr-BA" w:eastAsia="bs-Latn-BA"/>
              </w:rPr>
              <w:t xml:space="preserve">IPA II pravni i strateški okvir: </w:t>
            </w:r>
          </w:p>
          <w:p w14:paraId="162BE73B" w14:textId="77777777" w:rsidR="006C5B7F" w:rsidRPr="006C5B7F" w:rsidRDefault="006C5B7F" w:rsidP="000E1094">
            <w:pPr>
              <w:numPr>
                <w:ilvl w:val="0"/>
                <w:numId w:val="2"/>
              </w:numPr>
              <w:jc w:val="both"/>
              <w:cnfStyle w:val="000000100000" w:firstRow="0" w:lastRow="0" w:firstColumn="0" w:lastColumn="0" w:oddVBand="0" w:evenVBand="0" w:oddHBand="1"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 xml:space="preserve">Hijerarhija dokumenata </w:t>
            </w:r>
          </w:p>
          <w:p w14:paraId="2D5270D1" w14:textId="77777777" w:rsidR="006C5B7F" w:rsidRPr="006C5B7F" w:rsidRDefault="006C5B7F" w:rsidP="000E1094">
            <w:pPr>
              <w:numPr>
                <w:ilvl w:val="0"/>
                <w:numId w:val="2"/>
              </w:numPr>
              <w:jc w:val="both"/>
              <w:cnfStyle w:val="000000100000" w:firstRow="0" w:lastRow="0" w:firstColumn="0" w:lastColumn="0" w:oddVBand="0" w:evenVBand="0" w:oddHBand="1" w:evenHBand="0" w:firstRowFirstColumn="0" w:firstRowLastColumn="0" w:lastRowFirstColumn="0" w:lastRowLastColumn="0"/>
              <w:rPr>
                <w:rFonts w:ascii="Cambria" w:eastAsia="Arial Unicode MS" w:hAnsi="Cambria"/>
                <w:b/>
                <w:i/>
                <w:noProof/>
                <w:sz w:val="20"/>
                <w:szCs w:val="20"/>
                <w:lang w:val="hr-BA" w:eastAsia="bs-Latn-BA"/>
              </w:rPr>
            </w:pPr>
            <w:r w:rsidRPr="006C5B7F">
              <w:rPr>
                <w:rFonts w:ascii="Cambria" w:eastAsia="Arial Unicode MS" w:hAnsi="Cambria"/>
                <w:noProof/>
                <w:sz w:val="20"/>
                <w:szCs w:val="20"/>
                <w:lang w:val="hr-BA" w:eastAsia="bs-Latn-BA"/>
              </w:rPr>
              <w:t>Predstavljanje ključnih pravnih dokumenata</w:t>
            </w:r>
            <w:r w:rsidRPr="006C5B7F">
              <w:rPr>
                <w:rFonts w:ascii="Cambria" w:eastAsia="Arial Unicode MS" w:hAnsi="Cambria"/>
                <w:b/>
                <w:noProof/>
                <w:sz w:val="20"/>
                <w:szCs w:val="20"/>
                <w:lang w:val="hr-BA" w:eastAsia="bs-Latn-BA"/>
              </w:rPr>
              <w:t xml:space="preserve">  </w:t>
            </w:r>
            <w:r w:rsidRPr="006C5B7F">
              <w:rPr>
                <w:rFonts w:ascii="Cambria" w:eastAsia="Arial Unicode MS" w:hAnsi="Cambria"/>
                <w:b/>
                <w:i/>
                <w:noProof/>
                <w:sz w:val="20"/>
                <w:szCs w:val="20"/>
                <w:lang w:val="hr-BA" w:eastAsia="bs-Latn-BA"/>
              </w:rPr>
              <w:t xml:space="preserve">  </w:t>
            </w:r>
          </w:p>
          <w:p w14:paraId="4EBEC61C" w14:textId="4EB8083B" w:rsidR="006C5B7F" w:rsidRPr="006C5B7F" w:rsidRDefault="006C5B7F" w:rsidP="000E1094">
            <w:pPr>
              <w:numPr>
                <w:ilvl w:val="0"/>
                <w:numId w:val="2"/>
              </w:numPr>
              <w:contextualSpacing/>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r w:rsidRPr="006C5B7F">
              <w:rPr>
                <w:rFonts w:ascii="Cambria" w:eastAsia="Arial Unicode MS" w:hAnsi="Cambria"/>
                <w:noProof/>
                <w:sz w:val="20"/>
                <w:szCs w:val="20"/>
                <w:lang w:val="hr-BA" w:eastAsia="bs-Latn-BA"/>
              </w:rPr>
              <w:t>IPA III piramida pravnih i strateških dokumenata: Sporazum o finan</w:t>
            </w:r>
            <w:r w:rsidR="00453D02">
              <w:rPr>
                <w:rFonts w:ascii="Cambria" w:eastAsia="Arial Unicode MS" w:hAnsi="Cambria"/>
                <w:noProof/>
                <w:sz w:val="20"/>
                <w:szCs w:val="20"/>
                <w:lang w:val="hr-BA" w:eastAsia="bs-Latn-BA"/>
              </w:rPr>
              <w:t>c</w:t>
            </w:r>
            <w:r w:rsidRPr="006C5B7F">
              <w:rPr>
                <w:rFonts w:ascii="Cambria" w:eastAsia="Arial Unicode MS" w:hAnsi="Cambria"/>
                <w:noProof/>
                <w:sz w:val="20"/>
                <w:szCs w:val="20"/>
                <w:lang w:val="hr-BA" w:eastAsia="bs-Latn-BA"/>
              </w:rPr>
              <w:t>ijskom partnerskom okviru (FFPA), Strateški odgovor (SR),  Akcijski dokument (AD), Idejni prijedlog (AF)</w:t>
            </w:r>
          </w:p>
          <w:p w14:paraId="07C30541" w14:textId="77777777" w:rsidR="006C5B7F" w:rsidRPr="006C5B7F" w:rsidRDefault="006C5B7F" w:rsidP="000E1094">
            <w:pPr>
              <w:pStyle w:val="Paragrafspiska"/>
              <w:numPr>
                <w:ilvl w:val="0"/>
                <w:numId w:val="8"/>
              </w:numPr>
              <w:cnfStyle w:val="000000100000" w:firstRow="0" w:lastRow="0" w:firstColumn="0" w:lastColumn="0" w:oddVBand="0" w:evenVBand="0" w:oddHBand="1"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b/>
                <w:noProof/>
                <w:sz w:val="20"/>
                <w:szCs w:val="20"/>
                <w:lang w:val="hr-BA" w:eastAsia="bs-Latn-BA"/>
              </w:rPr>
              <w:t xml:space="preserve"> Izrada programskih dokumenata:</w:t>
            </w:r>
          </w:p>
          <w:p w14:paraId="5FAD435C" w14:textId="77777777" w:rsidR="006C5B7F" w:rsidRPr="006C5B7F" w:rsidRDefault="006C5B7F" w:rsidP="000E1094">
            <w:pPr>
              <w:numPr>
                <w:ilvl w:val="0"/>
                <w:numId w:val="3"/>
              </w:numPr>
              <w:jc w:val="both"/>
              <w:cnfStyle w:val="000000100000" w:firstRow="0" w:lastRow="0" w:firstColumn="0" w:lastColumn="0" w:oddVBand="0" w:evenVBand="0" w:oddHBand="1"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 xml:space="preserve">Intervencijska logika i  uzajamna veza između  SR, AD-a i AF-a </w:t>
            </w:r>
          </w:p>
          <w:p w14:paraId="14FE1BD5" w14:textId="77777777" w:rsidR="006C5B7F" w:rsidRPr="006C5B7F" w:rsidRDefault="006C5B7F" w:rsidP="000E1094">
            <w:pPr>
              <w:numPr>
                <w:ilvl w:val="0"/>
                <w:numId w:val="3"/>
              </w:numPr>
              <w:jc w:val="both"/>
              <w:cnfStyle w:val="000000100000" w:firstRow="0" w:lastRow="0" w:firstColumn="0" w:lastColumn="0" w:oddVBand="0" w:evenVBand="0" w:oddHBand="1"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 xml:space="preserve">SR u procesu programiranja - svrha, uloga i sadržaj </w:t>
            </w:r>
          </w:p>
          <w:p w14:paraId="737E7412" w14:textId="77777777" w:rsidR="006C5B7F" w:rsidRPr="006C5B7F" w:rsidRDefault="006C5B7F" w:rsidP="000E1094">
            <w:pPr>
              <w:numPr>
                <w:ilvl w:val="0"/>
                <w:numId w:val="3"/>
              </w:numPr>
              <w:jc w:val="both"/>
              <w:cnfStyle w:val="000000100000" w:firstRow="0" w:lastRow="0" w:firstColumn="0" w:lastColumn="0" w:oddVBand="0" w:evenVBand="0" w:oddHBand="1"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 xml:space="preserve">AF u procesu programiranja - svrha, uloga i sadržaj </w:t>
            </w:r>
          </w:p>
          <w:p w14:paraId="5537D17F" w14:textId="77777777" w:rsidR="006C5B7F" w:rsidRPr="006C5B7F" w:rsidRDefault="006C5B7F" w:rsidP="000E1094">
            <w:pPr>
              <w:numPr>
                <w:ilvl w:val="0"/>
                <w:numId w:val="3"/>
              </w:numPr>
              <w:jc w:val="both"/>
              <w:cnfStyle w:val="000000100000" w:firstRow="0" w:lastRow="0" w:firstColumn="0" w:lastColumn="0" w:oddVBand="0" w:evenVBand="0" w:oddHBand="1"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AD u procesu programiranja - svrha, uloga i sadržaj</w:t>
            </w:r>
          </w:p>
        </w:tc>
      </w:tr>
      <w:tr w:rsidR="006C5B7F" w:rsidRPr="006C5B7F" w14:paraId="5494E487" w14:textId="77777777" w:rsidTr="000E1094">
        <w:tc>
          <w:tcPr>
            <w:cnfStyle w:val="001000000000" w:firstRow="0" w:lastRow="0" w:firstColumn="1" w:lastColumn="0" w:oddVBand="0" w:evenVBand="0" w:oddHBand="0" w:evenHBand="0" w:firstRowFirstColumn="0" w:firstRowLastColumn="0" w:lastRowFirstColumn="0" w:lastRowLastColumn="0"/>
            <w:tcW w:w="2250" w:type="dxa"/>
            <w:shd w:val="clear" w:color="auto" w:fill="F2F2F2" w:themeFill="background1" w:themeFillShade="F2"/>
          </w:tcPr>
          <w:p w14:paraId="3EBA5994" w14:textId="77777777" w:rsidR="006C5B7F" w:rsidRPr="006C5B7F" w:rsidRDefault="006C5B7F" w:rsidP="000E1094">
            <w:pPr>
              <w:jc w:val="center"/>
              <w:rPr>
                <w:rFonts w:ascii="Cambria" w:hAnsi="Cambria"/>
                <w:b w:val="0"/>
                <w:bCs w:val="0"/>
                <w:sz w:val="20"/>
                <w:szCs w:val="20"/>
                <w:lang w:val="hr-BA"/>
              </w:rPr>
            </w:pPr>
          </w:p>
          <w:p w14:paraId="0E0B5903" w14:textId="77777777" w:rsidR="006C5B7F" w:rsidRPr="006C5B7F" w:rsidRDefault="006C5B7F" w:rsidP="000E1094">
            <w:pPr>
              <w:jc w:val="center"/>
              <w:rPr>
                <w:rFonts w:ascii="Cambria" w:hAnsi="Cambria"/>
                <w:sz w:val="20"/>
                <w:szCs w:val="20"/>
                <w:lang w:val="hr-BA"/>
              </w:rPr>
            </w:pPr>
            <w:r w:rsidRPr="006C5B7F">
              <w:rPr>
                <w:rFonts w:ascii="Cambria" w:hAnsi="Cambria"/>
                <w:color w:val="auto"/>
                <w:sz w:val="20"/>
                <w:szCs w:val="20"/>
                <w:lang w:val="hr-BA"/>
              </w:rPr>
              <w:t>Trajanje</w:t>
            </w:r>
            <w:r w:rsidRPr="006C5B7F">
              <w:rPr>
                <w:color w:val="auto"/>
                <w:lang w:val="hr-BA"/>
              </w:rPr>
              <w:t xml:space="preserve"> </w:t>
            </w:r>
            <w:r w:rsidRPr="006C5B7F">
              <w:rPr>
                <w:rFonts w:ascii="Cambria" w:hAnsi="Cambria"/>
                <w:color w:val="auto"/>
                <w:sz w:val="20"/>
                <w:szCs w:val="20"/>
                <w:lang w:val="hr-BA"/>
              </w:rPr>
              <w:t>obuke  izraženo brojem akademskih sati</w:t>
            </w:r>
          </w:p>
        </w:tc>
        <w:tc>
          <w:tcPr>
            <w:tcW w:w="11605" w:type="dxa"/>
            <w:shd w:val="clear" w:color="auto" w:fill="F2F2F2" w:themeFill="background1" w:themeFillShade="F2"/>
          </w:tcPr>
          <w:p w14:paraId="64627E30" w14:textId="77777777" w:rsidR="006C5B7F" w:rsidRPr="006C5B7F" w:rsidRDefault="006C5B7F" w:rsidP="000E1094">
            <w:pPr>
              <w:cnfStyle w:val="000000000000" w:firstRow="0" w:lastRow="0" w:firstColumn="0" w:lastColumn="0" w:oddVBand="0" w:evenVBand="0" w:oddHBand="0" w:evenHBand="0" w:firstRowFirstColumn="0" w:firstRowLastColumn="0" w:lastRowFirstColumn="0" w:lastRowLastColumn="0"/>
              <w:rPr>
                <w:rFonts w:ascii="Cambria" w:eastAsia="Arial Unicode MS" w:hAnsi="Cambria"/>
                <w:sz w:val="20"/>
                <w:szCs w:val="20"/>
                <w:lang w:val="hr-BA"/>
              </w:rPr>
            </w:pPr>
          </w:p>
          <w:p w14:paraId="318FD6D3" w14:textId="14578961" w:rsidR="006C5B7F" w:rsidRPr="006C5B7F" w:rsidRDefault="006C5B7F" w:rsidP="000E1094">
            <w:pPr>
              <w:pStyle w:val="Paragrafspiska"/>
              <w:numPr>
                <w:ilvl w:val="0"/>
                <w:numId w:val="9"/>
              </w:numPr>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lang w:val="hr-BA"/>
              </w:rPr>
            </w:pPr>
            <w:r w:rsidRPr="006C5B7F">
              <w:rPr>
                <w:rFonts w:ascii="Cambria" w:eastAsia="Calibri" w:hAnsi="Cambria" w:cs="Times New Roman"/>
                <w:sz w:val="20"/>
                <w:szCs w:val="20"/>
                <w:lang w:val="hr-BA"/>
              </w:rPr>
              <w:t>Klasična obuka u učionici: 16 akademskih sati, to jest obuka u trajanju od 2 dana po 8 akademskih sati</w:t>
            </w:r>
          </w:p>
          <w:p w14:paraId="763118E4" w14:textId="7D3E199D" w:rsidR="006C5B7F" w:rsidRPr="006C5B7F" w:rsidRDefault="006C5B7F" w:rsidP="000E1094">
            <w:pPr>
              <w:pStyle w:val="Paragrafspiska"/>
              <w:ind w:left="360"/>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hr-BA"/>
              </w:rPr>
            </w:pPr>
            <w:r w:rsidRPr="006C5B7F">
              <w:rPr>
                <w:rFonts w:ascii="Cambria" w:eastAsia="Calibri" w:hAnsi="Cambria" w:cs="Times New Roman"/>
                <w:sz w:val="20"/>
                <w:szCs w:val="20"/>
                <w:lang w:val="hr-BA"/>
              </w:rPr>
              <w:t>•</w:t>
            </w:r>
            <w:r w:rsidRPr="006C5B7F">
              <w:rPr>
                <w:rFonts w:ascii="Cambria" w:eastAsia="Calibri" w:hAnsi="Cambria" w:cs="Times New Roman"/>
                <w:sz w:val="20"/>
                <w:szCs w:val="20"/>
                <w:lang w:val="hr-BA"/>
              </w:rPr>
              <w:tab/>
              <w:t>Webinar: 10 akademskih sati, to jest 2 dana po 5 akademskih sati</w:t>
            </w:r>
            <w:r w:rsidRPr="006C5B7F" w:rsidDel="006C5B7F">
              <w:rPr>
                <w:rFonts w:ascii="Cambria" w:eastAsia="Calibri" w:hAnsi="Cambria" w:cs="Times New Roman"/>
                <w:sz w:val="20"/>
                <w:szCs w:val="20"/>
                <w:lang w:val="hr-BA"/>
              </w:rPr>
              <w:t xml:space="preserve"> </w:t>
            </w:r>
            <w:r w:rsidRPr="006C5B7F">
              <w:rPr>
                <w:rFonts w:ascii="Cambria" w:hAnsi="Cambria"/>
                <w:sz w:val="20"/>
                <w:szCs w:val="20"/>
                <w:lang w:val="hr-BA"/>
              </w:rPr>
              <w:t xml:space="preserve"> </w:t>
            </w:r>
          </w:p>
        </w:tc>
      </w:tr>
      <w:tr w:rsidR="006C5B7F" w:rsidRPr="006C5B7F" w14:paraId="4A530A33" w14:textId="77777777" w:rsidTr="000E1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2F2F2" w:themeFill="background1" w:themeFillShade="F2"/>
          </w:tcPr>
          <w:p w14:paraId="6F0FF910" w14:textId="77777777" w:rsidR="006C5B7F" w:rsidRPr="006C5B7F" w:rsidRDefault="006C5B7F" w:rsidP="000E1094">
            <w:pPr>
              <w:jc w:val="center"/>
              <w:rPr>
                <w:rFonts w:ascii="Cambria" w:hAnsi="Cambria"/>
                <w:sz w:val="20"/>
                <w:szCs w:val="20"/>
                <w:lang w:val="hr-BA"/>
              </w:rPr>
            </w:pPr>
          </w:p>
          <w:p w14:paraId="52D2DBD7" w14:textId="77777777" w:rsidR="006C5B7F" w:rsidRPr="006C5B7F" w:rsidRDefault="006C5B7F" w:rsidP="000E1094">
            <w:pPr>
              <w:jc w:val="center"/>
              <w:rPr>
                <w:rFonts w:ascii="Cambria" w:hAnsi="Cambria"/>
                <w:sz w:val="20"/>
                <w:szCs w:val="20"/>
                <w:lang w:val="hr-BA"/>
              </w:rPr>
            </w:pPr>
          </w:p>
          <w:p w14:paraId="7E4898D9" w14:textId="77777777" w:rsidR="006C5B7F" w:rsidRPr="006C5B7F" w:rsidRDefault="006C5B7F" w:rsidP="000E1094">
            <w:pPr>
              <w:jc w:val="center"/>
              <w:rPr>
                <w:rFonts w:ascii="Cambria" w:hAnsi="Cambria"/>
                <w:sz w:val="20"/>
                <w:szCs w:val="20"/>
                <w:lang w:val="hr-BA"/>
              </w:rPr>
            </w:pPr>
          </w:p>
          <w:p w14:paraId="421CC38E" w14:textId="77777777" w:rsidR="006C5B7F" w:rsidRPr="006C5B7F" w:rsidRDefault="006C5B7F" w:rsidP="000E1094">
            <w:pPr>
              <w:jc w:val="center"/>
              <w:rPr>
                <w:rFonts w:ascii="Cambria" w:hAnsi="Cambria"/>
                <w:sz w:val="20"/>
                <w:szCs w:val="20"/>
                <w:lang w:val="hr-BA"/>
              </w:rPr>
            </w:pPr>
          </w:p>
          <w:p w14:paraId="6486E8D7" w14:textId="77777777" w:rsidR="006C5B7F" w:rsidRPr="006C5B7F" w:rsidRDefault="006C5B7F" w:rsidP="000E1094">
            <w:pPr>
              <w:jc w:val="center"/>
              <w:rPr>
                <w:rFonts w:ascii="Cambria" w:hAnsi="Cambria"/>
                <w:sz w:val="20"/>
                <w:szCs w:val="20"/>
                <w:lang w:val="hr-BA"/>
              </w:rPr>
            </w:pPr>
            <w:r w:rsidRPr="006C5B7F">
              <w:rPr>
                <w:rFonts w:ascii="Cambria" w:hAnsi="Cambria"/>
                <w:color w:val="auto"/>
                <w:sz w:val="20"/>
                <w:szCs w:val="20"/>
                <w:lang w:val="hr-BA"/>
              </w:rPr>
              <w:t>Opis obuke</w:t>
            </w:r>
          </w:p>
        </w:tc>
        <w:tc>
          <w:tcPr>
            <w:tcW w:w="11605" w:type="dxa"/>
            <w:shd w:val="clear" w:color="auto" w:fill="F2F2F2" w:themeFill="background1" w:themeFillShade="F2"/>
          </w:tcPr>
          <w:p w14:paraId="269F5A2C" w14:textId="2C50DC56" w:rsidR="006C5B7F" w:rsidRPr="006C5B7F" w:rsidRDefault="006C5B7F" w:rsidP="000E1094">
            <w:pPr>
              <w:jc w:val="both"/>
              <w:cnfStyle w:val="000000100000" w:firstRow="0" w:lastRow="0" w:firstColumn="0" w:lastColumn="0" w:oddVBand="0" w:evenVBand="0" w:oddHBand="1" w:evenHBand="0" w:firstRowFirstColumn="0" w:firstRowLastColumn="0" w:lastRowFirstColumn="0" w:lastRowLastColumn="0"/>
              <w:rPr>
                <w:rFonts w:ascii="Cambria" w:eastAsia="Arial Unicode MS" w:hAnsi="Cambria"/>
                <w:sz w:val="20"/>
                <w:szCs w:val="20"/>
                <w:lang w:val="hr-BA"/>
              </w:rPr>
            </w:pPr>
            <w:r w:rsidRPr="006C5B7F">
              <w:rPr>
                <w:rFonts w:ascii="Cambria" w:eastAsia="Arial Unicode MS" w:hAnsi="Cambria"/>
                <w:sz w:val="20"/>
                <w:szCs w:val="20"/>
                <w:lang w:val="hr-BA"/>
              </w:rPr>
              <w:t xml:space="preserve">IPA III je instrument pretpristupne pomoći EU za </w:t>
            </w:r>
            <w:r w:rsidR="00453D02">
              <w:rPr>
                <w:rFonts w:ascii="Cambria" w:eastAsia="Arial Unicode MS" w:hAnsi="Cambria"/>
                <w:sz w:val="20"/>
                <w:szCs w:val="20"/>
                <w:lang w:val="hr-BA"/>
              </w:rPr>
              <w:t>razdoblje</w:t>
            </w:r>
            <w:r w:rsidRPr="006C5B7F">
              <w:rPr>
                <w:rFonts w:ascii="Cambria" w:eastAsia="Arial Unicode MS" w:hAnsi="Cambria"/>
                <w:sz w:val="20"/>
                <w:szCs w:val="20"/>
                <w:lang w:val="hr-BA"/>
              </w:rPr>
              <w:t xml:space="preserve"> 2021</w:t>
            </w:r>
            <w:r w:rsidR="00453D02">
              <w:rPr>
                <w:rFonts w:ascii="Cambria" w:eastAsia="Arial Unicode MS" w:hAnsi="Cambria"/>
                <w:sz w:val="20"/>
                <w:szCs w:val="20"/>
                <w:lang w:val="hr-BA"/>
              </w:rPr>
              <w:t xml:space="preserve">. – </w:t>
            </w:r>
            <w:r w:rsidRPr="006C5B7F">
              <w:rPr>
                <w:rFonts w:ascii="Cambria" w:eastAsia="Arial Unicode MS" w:hAnsi="Cambria"/>
                <w:sz w:val="20"/>
                <w:szCs w:val="20"/>
                <w:lang w:val="hr-BA"/>
              </w:rPr>
              <w:t>2027</w:t>
            </w:r>
            <w:r w:rsidR="00453D02">
              <w:rPr>
                <w:rFonts w:ascii="Cambria" w:eastAsia="Arial Unicode MS" w:hAnsi="Cambria"/>
                <w:sz w:val="20"/>
                <w:szCs w:val="20"/>
                <w:lang w:val="hr-BA"/>
              </w:rPr>
              <w:t>.</w:t>
            </w:r>
            <w:r w:rsidRPr="006C5B7F">
              <w:rPr>
                <w:rFonts w:ascii="Cambria" w:eastAsia="Arial Unicode MS" w:hAnsi="Cambria"/>
                <w:sz w:val="20"/>
                <w:szCs w:val="20"/>
                <w:lang w:val="hr-BA"/>
              </w:rPr>
              <w:t xml:space="preserve"> koji se s aspekta planiranja pomoći razlikuje od IPA 2014</w:t>
            </w:r>
            <w:r w:rsidR="00453D02">
              <w:rPr>
                <w:rFonts w:ascii="Cambria" w:eastAsia="Arial Unicode MS" w:hAnsi="Cambria"/>
                <w:sz w:val="20"/>
                <w:szCs w:val="20"/>
                <w:lang w:val="hr-BA"/>
              </w:rPr>
              <w:t xml:space="preserve">. – </w:t>
            </w:r>
            <w:r w:rsidRPr="006C5B7F">
              <w:rPr>
                <w:rFonts w:ascii="Cambria" w:eastAsia="Arial Unicode MS" w:hAnsi="Cambria"/>
                <w:sz w:val="20"/>
                <w:szCs w:val="20"/>
                <w:lang w:val="hr-BA"/>
              </w:rPr>
              <w:t>2020</w:t>
            </w:r>
            <w:r w:rsidR="00453D02">
              <w:rPr>
                <w:rFonts w:ascii="Cambria" w:eastAsia="Arial Unicode MS" w:hAnsi="Cambria"/>
                <w:sz w:val="20"/>
                <w:szCs w:val="20"/>
                <w:lang w:val="hr-BA"/>
              </w:rPr>
              <w:t>.</w:t>
            </w:r>
            <w:r w:rsidRPr="006C5B7F">
              <w:rPr>
                <w:rFonts w:ascii="Cambria" w:eastAsia="Arial Unicode MS" w:hAnsi="Cambria"/>
                <w:sz w:val="20"/>
                <w:szCs w:val="20"/>
                <w:lang w:val="hr-BA"/>
              </w:rPr>
              <w:t xml:space="preserve"> (IPA II). IPA III nastavlja planiranje i programiranje projekata na </w:t>
            </w:r>
            <w:r w:rsidR="00453D02">
              <w:rPr>
                <w:rFonts w:ascii="Cambria" w:eastAsia="Arial Unicode MS" w:hAnsi="Cambria"/>
                <w:sz w:val="20"/>
                <w:szCs w:val="20"/>
                <w:lang w:val="hr-BA"/>
              </w:rPr>
              <w:t>temelju</w:t>
            </w:r>
            <w:r w:rsidRPr="006C5B7F">
              <w:rPr>
                <w:rFonts w:ascii="Cambria" w:eastAsia="Arial Unicode MS" w:hAnsi="Cambria"/>
                <w:sz w:val="20"/>
                <w:szCs w:val="20"/>
                <w:lang w:val="hr-BA"/>
              </w:rPr>
              <w:t xml:space="preserve"> strateškog i sektorskog pristupa. Za razliku od prethodnog instrumenta, IPA III ne predviđa pripremu sektorskih planskih dokumenata za svaki sektor, već predviđa pripremu jednog strateškog planskog dokumenta koji će obuhvatiti sve ključne prioritete i akcije/projekte u </w:t>
            </w:r>
            <w:r w:rsidR="00453D02">
              <w:rPr>
                <w:rFonts w:ascii="Cambria" w:eastAsia="Arial Unicode MS" w:hAnsi="Cambria"/>
                <w:sz w:val="20"/>
                <w:szCs w:val="20"/>
                <w:lang w:val="hr-BA"/>
              </w:rPr>
              <w:t>razdoblju</w:t>
            </w:r>
            <w:r w:rsidRPr="006C5B7F">
              <w:rPr>
                <w:rFonts w:ascii="Cambria" w:eastAsia="Arial Unicode MS" w:hAnsi="Cambria"/>
                <w:sz w:val="20"/>
                <w:szCs w:val="20"/>
                <w:lang w:val="hr-BA"/>
              </w:rPr>
              <w:t xml:space="preserve"> od 2021. do 2027. godine.</w:t>
            </w:r>
          </w:p>
        </w:tc>
      </w:tr>
      <w:tr w:rsidR="006C5B7F" w:rsidRPr="006C5B7F" w14:paraId="513F933B" w14:textId="77777777" w:rsidTr="000E1094">
        <w:tc>
          <w:tcPr>
            <w:cnfStyle w:val="001000000000" w:firstRow="0" w:lastRow="0" w:firstColumn="1" w:lastColumn="0" w:oddVBand="0" w:evenVBand="0" w:oddHBand="0" w:evenHBand="0" w:firstRowFirstColumn="0" w:firstRowLastColumn="0" w:lastRowFirstColumn="0" w:lastRowLastColumn="0"/>
            <w:tcW w:w="2250" w:type="dxa"/>
            <w:shd w:val="clear" w:color="auto" w:fill="F2F2F2" w:themeFill="background1" w:themeFillShade="F2"/>
          </w:tcPr>
          <w:p w14:paraId="6EBB138D" w14:textId="77777777" w:rsidR="006C5B7F" w:rsidRPr="006C5B7F" w:rsidRDefault="006C5B7F" w:rsidP="000E1094">
            <w:pPr>
              <w:jc w:val="center"/>
              <w:rPr>
                <w:rFonts w:ascii="Cambria" w:hAnsi="Cambria"/>
                <w:sz w:val="20"/>
                <w:szCs w:val="20"/>
                <w:lang w:val="hr-BA"/>
              </w:rPr>
            </w:pPr>
            <w:r w:rsidRPr="006C5B7F">
              <w:rPr>
                <w:rFonts w:ascii="Cambria" w:hAnsi="Cambria"/>
                <w:color w:val="auto"/>
                <w:sz w:val="20"/>
                <w:szCs w:val="20"/>
                <w:lang w:val="hr-BA"/>
              </w:rPr>
              <w:t>Ciljevi obuke</w:t>
            </w:r>
          </w:p>
        </w:tc>
        <w:tc>
          <w:tcPr>
            <w:tcW w:w="11605" w:type="dxa"/>
            <w:shd w:val="clear" w:color="auto" w:fill="F2F2F2" w:themeFill="background1" w:themeFillShade="F2"/>
          </w:tcPr>
          <w:p w14:paraId="19E9FDF0" w14:textId="35219227" w:rsidR="006C5B7F" w:rsidRPr="006C5B7F" w:rsidRDefault="006C5B7F" w:rsidP="000E1094">
            <w:pPr>
              <w:numPr>
                <w:ilvl w:val="0"/>
                <w:numId w:val="7"/>
              </w:numPr>
              <w:ind w:left="720"/>
              <w:contextualSpacing/>
              <w:cnfStyle w:val="000000000000" w:firstRow="0" w:lastRow="0" w:firstColumn="0" w:lastColumn="0" w:oddVBand="0" w:evenVBand="0" w:oddHBand="0"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Upoznati polaznike s razlikama između instrumenta  IPA II i IPA III.</w:t>
            </w:r>
          </w:p>
          <w:p w14:paraId="40BFA173" w14:textId="26973CD2" w:rsidR="006C5B7F" w:rsidRPr="006C5B7F" w:rsidRDefault="006C5B7F" w:rsidP="000E1094">
            <w:pPr>
              <w:numPr>
                <w:ilvl w:val="0"/>
                <w:numId w:val="4"/>
              </w:numPr>
              <w:ind w:left="720"/>
              <w:contextualSpacing/>
              <w:cnfStyle w:val="000000000000" w:firstRow="0" w:lastRow="0" w:firstColumn="0" w:lastColumn="0" w:oddVBand="0" w:evenVBand="0" w:oddHBand="0"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sz w:val="20"/>
                <w:szCs w:val="20"/>
                <w:lang w:val="hr-BA"/>
              </w:rPr>
              <w:t>Upoznati polaznike s konceptom IPA III u planiranju i programiranju pomoći, uključujući glavne elemente pravni i strateški okvir te osnovne projektne dokumente.</w:t>
            </w:r>
          </w:p>
          <w:p w14:paraId="12A19AA3" w14:textId="44B55CEE" w:rsidR="006C5B7F" w:rsidRPr="006C5B7F" w:rsidRDefault="006C5B7F" w:rsidP="000E1094">
            <w:pPr>
              <w:numPr>
                <w:ilvl w:val="0"/>
                <w:numId w:val="4"/>
              </w:numPr>
              <w:ind w:left="720"/>
              <w:contextualSpacing/>
              <w:cnfStyle w:val="000000000000" w:firstRow="0" w:lastRow="0" w:firstColumn="0" w:lastColumn="0" w:oddVBand="0" w:evenVBand="0" w:oddHBand="0" w:evenHBand="0" w:firstRowFirstColumn="0" w:firstRowLastColumn="0" w:lastRowFirstColumn="0" w:lastRowLastColumn="0"/>
              <w:rPr>
                <w:rFonts w:ascii="Cambria" w:eastAsia="Arial Unicode MS" w:hAnsi="Cambria"/>
                <w:noProof/>
                <w:sz w:val="20"/>
                <w:szCs w:val="20"/>
                <w:lang w:val="hr-BA" w:eastAsia="bs-Latn-BA"/>
              </w:rPr>
            </w:pPr>
            <w:r w:rsidRPr="006C5B7F">
              <w:rPr>
                <w:rFonts w:ascii="Cambria" w:eastAsia="Arial Unicode MS" w:hAnsi="Cambria"/>
                <w:noProof/>
                <w:sz w:val="20"/>
                <w:szCs w:val="20"/>
                <w:lang w:val="hr-BA" w:eastAsia="bs-Latn-BA"/>
              </w:rPr>
              <w:t>Upoznati polaznike s okvirom u kojem se realizira IPA III te fazama i dokumentima koji prate ovaj instrument.</w:t>
            </w:r>
          </w:p>
          <w:p w14:paraId="5CB61B3B" w14:textId="526991E6" w:rsidR="006C5B7F" w:rsidRPr="006C5B7F" w:rsidRDefault="006C5B7F" w:rsidP="000E1094">
            <w:pPr>
              <w:numPr>
                <w:ilvl w:val="0"/>
                <w:numId w:val="4"/>
              </w:numPr>
              <w:ind w:left="720"/>
              <w:contextualSpacing/>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hr-BA"/>
              </w:rPr>
            </w:pPr>
            <w:r w:rsidRPr="006C5B7F">
              <w:rPr>
                <w:rFonts w:ascii="Cambria" w:eastAsia="Arial Unicode MS" w:hAnsi="Cambria"/>
                <w:noProof/>
                <w:sz w:val="20"/>
                <w:szCs w:val="20"/>
                <w:lang w:val="hr-BA" w:eastAsia="bs-Latn-BA"/>
              </w:rPr>
              <w:t xml:space="preserve">Kroz rad na praktičnim primjerima polaznicima </w:t>
            </w:r>
            <w:r>
              <w:rPr>
                <w:rFonts w:ascii="Cambria" w:eastAsia="Arial Unicode MS" w:hAnsi="Cambria"/>
                <w:noProof/>
                <w:sz w:val="20"/>
                <w:szCs w:val="20"/>
                <w:lang w:val="hr-BA" w:eastAsia="bs-Latn-BA"/>
              </w:rPr>
              <w:t>p</w:t>
            </w:r>
            <w:r w:rsidRPr="006C5B7F">
              <w:rPr>
                <w:rFonts w:ascii="Cambria" w:eastAsia="Arial Unicode MS" w:hAnsi="Cambria"/>
                <w:noProof/>
                <w:sz w:val="20"/>
                <w:szCs w:val="20"/>
                <w:lang w:val="hr-BA" w:eastAsia="bs-Latn-BA"/>
              </w:rPr>
              <w:t>renijeti znanja o izradi strateškog odgovora (SR), akcijskih dokumenata (AD) i idejnih prijedloga (AF) .</w:t>
            </w:r>
          </w:p>
        </w:tc>
      </w:tr>
      <w:tr w:rsidR="006C5B7F" w:rsidRPr="006C5B7F" w14:paraId="243932B2" w14:textId="77777777" w:rsidTr="000E1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2F2F2" w:themeFill="background1" w:themeFillShade="F2"/>
          </w:tcPr>
          <w:p w14:paraId="0F000E63" w14:textId="77777777" w:rsidR="006C5B7F" w:rsidRPr="006C5B7F" w:rsidRDefault="006C5B7F" w:rsidP="000E1094">
            <w:pPr>
              <w:jc w:val="center"/>
              <w:rPr>
                <w:rFonts w:ascii="Cambria" w:hAnsi="Cambria"/>
                <w:sz w:val="20"/>
                <w:szCs w:val="20"/>
                <w:lang w:val="hr-BA"/>
              </w:rPr>
            </w:pPr>
          </w:p>
          <w:p w14:paraId="1034982D" w14:textId="77777777" w:rsidR="006C5B7F" w:rsidRPr="006C5B7F" w:rsidRDefault="006C5B7F" w:rsidP="000E1094">
            <w:pPr>
              <w:jc w:val="center"/>
              <w:rPr>
                <w:rFonts w:ascii="Cambria" w:hAnsi="Cambria"/>
                <w:sz w:val="20"/>
                <w:szCs w:val="20"/>
                <w:lang w:val="hr-BA"/>
              </w:rPr>
            </w:pPr>
          </w:p>
          <w:p w14:paraId="4CBEB044" w14:textId="77777777" w:rsidR="006C5B7F" w:rsidRPr="006C5B7F" w:rsidRDefault="006C5B7F" w:rsidP="000E1094">
            <w:pPr>
              <w:jc w:val="center"/>
              <w:rPr>
                <w:rFonts w:ascii="Cambria" w:hAnsi="Cambria"/>
                <w:sz w:val="20"/>
                <w:szCs w:val="20"/>
                <w:lang w:val="hr-BA"/>
              </w:rPr>
            </w:pPr>
            <w:r w:rsidRPr="006C5B7F">
              <w:rPr>
                <w:rFonts w:ascii="Cambria" w:hAnsi="Cambria"/>
                <w:color w:val="auto"/>
                <w:sz w:val="20"/>
                <w:szCs w:val="20"/>
                <w:lang w:val="hr-BA"/>
              </w:rPr>
              <w:t>Ciljna skupina polaznika</w:t>
            </w:r>
          </w:p>
        </w:tc>
        <w:tc>
          <w:tcPr>
            <w:tcW w:w="11605" w:type="dxa"/>
            <w:shd w:val="clear" w:color="auto" w:fill="F2F2F2" w:themeFill="background1" w:themeFillShade="F2"/>
          </w:tcPr>
          <w:p w14:paraId="4A7D0A34" w14:textId="2F8BD158" w:rsidR="006C5B7F" w:rsidRPr="006C5B7F" w:rsidRDefault="006C5B7F" w:rsidP="000E1094">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r w:rsidRPr="006C5B7F">
              <w:rPr>
                <w:rFonts w:ascii="Cambria" w:hAnsi="Cambria"/>
                <w:sz w:val="20"/>
                <w:szCs w:val="20"/>
                <w:lang w:val="hr-BA"/>
              </w:rPr>
              <w:t>Članovi tijela u s</w:t>
            </w:r>
            <w:r w:rsidR="00453D02">
              <w:rPr>
                <w:rFonts w:ascii="Cambria" w:hAnsi="Cambria"/>
                <w:sz w:val="20"/>
                <w:szCs w:val="20"/>
                <w:lang w:val="hr-BA"/>
              </w:rPr>
              <w:t>us</w:t>
            </w:r>
            <w:r w:rsidRPr="006C5B7F">
              <w:rPr>
                <w:rFonts w:ascii="Cambria" w:hAnsi="Cambria"/>
                <w:sz w:val="20"/>
                <w:szCs w:val="20"/>
                <w:lang w:val="hr-BA"/>
              </w:rPr>
              <w:t>t</w:t>
            </w:r>
            <w:r w:rsidR="00453D02">
              <w:rPr>
                <w:rFonts w:ascii="Cambria" w:hAnsi="Cambria"/>
                <w:sz w:val="20"/>
                <w:szCs w:val="20"/>
                <w:lang w:val="hr-BA"/>
              </w:rPr>
              <w:t>avu</w:t>
            </w:r>
            <w:r w:rsidRPr="006C5B7F">
              <w:rPr>
                <w:rFonts w:ascii="Cambria" w:hAnsi="Cambria"/>
                <w:sz w:val="20"/>
                <w:szCs w:val="20"/>
                <w:lang w:val="hr-BA"/>
              </w:rPr>
              <w:t xml:space="preserve"> koordinacije procesa europskih integracija i ostalih struktura uspostavljenih za potrebe procesa europskih integracija i državni službenici koji obavljaju poslove:</w:t>
            </w:r>
          </w:p>
          <w:p w14:paraId="39FD3D24" w14:textId="77777777" w:rsidR="006C5B7F" w:rsidRPr="006C5B7F" w:rsidRDefault="006C5B7F" w:rsidP="000E1094">
            <w:pPr>
              <w:numPr>
                <w:ilvl w:val="0"/>
                <w:numId w:val="6"/>
              </w:numPr>
              <w:ind w:left="720"/>
              <w:contextualSpacing/>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r w:rsidRPr="006C5B7F">
              <w:rPr>
                <w:rFonts w:ascii="Cambria" w:hAnsi="Cambria"/>
                <w:sz w:val="20"/>
                <w:szCs w:val="20"/>
                <w:lang w:val="hr-BA"/>
              </w:rPr>
              <w:t>strateškog planiranja, programiranja, monitoringa i evaluacije pomoći EU.</w:t>
            </w:r>
          </w:p>
          <w:p w14:paraId="431F5629" w14:textId="77777777" w:rsidR="006C5B7F" w:rsidRPr="006C5B7F" w:rsidRDefault="006C5B7F" w:rsidP="000E1094">
            <w:pPr>
              <w:pStyle w:val="Paragrafspiska"/>
              <w:numPr>
                <w:ilvl w:val="0"/>
                <w:numId w:val="5"/>
              </w:numPr>
              <w:cnfStyle w:val="000000100000" w:firstRow="0" w:lastRow="0" w:firstColumn="0" w:lastColumn="0" w:oddVBand="0" w:evenVBand="0" w:oddHBand="1" w:evenHBand="0" w:firstRowFirstColumn="0" w:firstRowLastColumn="0" w:lastRowFirstColumn="0" w:lastRowLastColumn="0"/>
              <w:rPr>
                <w:rFonts w:ascii="Cambria" w:eastAsia="Arial Unicode MS" w:hAnsi="Cambria"/>
                <w:sz w:val="20"/>
                <w:szCs w:val="20"/>
                <w:lang w:val="hr-BA"/>
              </w:rPr>
            </w:pPr>
            <w:r w:rsidRPr="006C5B7F">
              <w:rPr>
                <w:rFonts w:ascii="Cambria" w:hAnsi="Cambria"/>
                <w:sz w:val="20"/>
                <w:szCs w:val="20"/>
                <w:lang w:val="hr-BA"/>
              </w:rPr>
              <w:t>Znanstveni i stručni djelatnici, studenti dodiplomskih, poslijediplomskih i doktorskih studija u oblasti europskih integracija, novinari, predstavnici nevladinih organizacija, uposleni u javnim poduzećima i nezaposleni.</w:t>
            </w:r>
          </w:p>
        </w:tc>
      </w:tr>
      <w:tr w:rsidR="006C5B7F" w:rsidRPr="006C5B7F" w14:paraId="22044DC0" w14:textId="77777777" w:rsidTr="000E1094">
        <w:tc>
          <w:tcPr>
            <w:cnfStyle w:val="001000000000" w:firstRow="0" w:lastRow="0" w:firstColumn="1" w:lastColumn="0" w:oddVBand="0" w:evenVBand="0" w:oddHBand="0" w:evenHBand="0" w:firstRowFirstColumn="0" w:firstRowLastColumn="0" w:lastRowFirstColumn="0" w:lastRowLastColumn="0"/>
            <w:tcW w:w="2250" w:type="dxa"/>
            <w:shd w:val="clear" w:color="auto" w:fill="F2F2F2" w:themeFill="background1" w:themeFillShade="F2"/>
          </w:tcPr>
          <w:p w14:paraId="415A9B4C" w14:textId="77777777" w:rsidR="006C5B7F" w:rsidRPr="006C5B7F" w:rsidRDefault="006C5B7F" w:rsidP="000E1094">
            <w:pPr>
              <w:jc w:val="center"/>
              <w:rPr>
                <w:rFonts w:ascii="Cambria" w:hAnsi="Cambria"/>
                <w:sz w:val="20"/>
                <w:szCs w:val="20"/>
                <w:lang w:val="hr-BA"/>
              </w:rPr>
            </w:pPr>
          </w:p>
          <w:p w14:paraId="4C049B22" w14:textId="77777777" w:rsidR="006C5B7F" w:rsidRPr="006C5B7F" w:rsidRDefault="006C5B7F" w:rsidP="000E1094">
            <w:pPr>
              <w:jc w:val="center"/>
              <w:rPr>
                <w:rFonts w:ascii="Cambria" w:hAnsi="Cambria"/>
                <w:color w:val="auto"/>
                <w:sz w:val="20"/>
                <w:szCs w:val="20"/>
                <w:lang w:val="hr-BA"/>
              </w:rPr>
            </w:pPr>
            <w:r w:rsidRPr="006C5B7F">
              <w:rPr>
                <w:rFonts w:ascii="Cambria" w:hAnsi="Cambria"/>
                <w:color w:val="auto"/>
                <w:sz w:val="20"/>
                <w:szCs w:val="20"/>
                <w:lang w:val="hr-BA"/>
              </w:rPr>
              <w:t>Ishodi učenja</w:t>
            </w:r>
          </w:p>
          <w:p w14:paraId="67C05019" w14:textId="77777777" w:rsidR="006C5B7F" w:rsidRPr="006C5B7F" w:rsidRDefault="006C5B7F" w:rsidP="000E1094">
            <w:pPr>
              <w:jc w:val="center"/>
              <w:rPr>
                <w:rFonts w:ascii="Cambria" w:hAnsi="Cambria"/>
                <w:sz w:val="20"/>
                <w:szCs w:val="20"/>
                <w:lang w:val="hr-BA"/>
              </w:rPr>
            </w:pPr>
          </w:p>
        </w:tc>
        <w:tc>
          <w:tcPr>
            <w:tcW w:w="11605" w:type="dxa"/>
            <w:shd w:val="clear" w:color="auto" w:fill="F2F2F2" w:themeFill="background1" w:themeFillShade="F2"/>
          </w:tcPr>
          <w:p w14:paraId="57CDCCBC" w14:textId="77777777" w:rsidR="006C5B7F" w:rsidRPr="006C5B7F" w:rsidRDefault="006C5B7F" w:rsidP="000E1094">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hr-BA"/>
              </w:rPr>
            </w:pPr>
            <w:r w:rsidRPr="006C5B7F">
              <w:rPr>
                <w:rFonts w:ascii="Cambria" w:eastAsia="Arial Unicode MS" w:hAnsi="Cambria"/>
                <w:noProof/>
                <w:sz w:val="20"/>
                <w:szCs w:val="20"/>
                <w:lang w:val="hr-BA" w:eastAsia="bs-Latn-BA"/>
              </w:rPr>
              <w:t xml:space="preserve">Polaznici su upoznati s promjenama u pristupu koji donosi IPA III. </w:t>
            </w:r>
          </w:p>
          <w:p w14:paraId="0D343998" w14:textId="77777777" w:rsidR="006C5B7F" w:rsidRPr="006C5B7F" w:rsidRDefault="006C5B7F" w:rsidP="000E1094">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hr-BA"/>
              </w:rPr>
            </w:pPr>
            <w:r w:rsidRPr="006C5B7F">
              <w:rPr>
                <w:rFonts w:ascii="Cambria" w:eastAsia="Arial Unicode MS" w:hAnsi="Cambria"/>
                <w:noProof/>
                <w:sz w:val="20"/>
                <w:szCs w:val="20"/>
                <w:lang w:val="hr-BA" w:eastAsia="bs-Latn-BA"/>
              </w:rPr>
              <w:t xml:space="preserve">Polaznici razumiju koncept, pristup i pravila programiranja IPA III. </w:t>
            </w:r>
          </w:p>
          <w:p w14:paraId="279221E9" w14:textId="77777777" w:rsidR="006C5B7F" w:rsidRPr="006C5B7F" w:rsidRDefault="006C5B7F" w:rsidP="000E1094">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hr-BA"/>
              </w:rPr>
            </w:pPr>
            <w:r w:rsidRPr="006C5B7F">
              <w:rPr>
                <w:rFonts w:ascii="Cambria" w:hAnsi="Cambria"/>
                <w:sz w:val="20"/>
                <w:szCs w:val="20"/>
                <w:lang w:val="hr-BA"/>
              </w:rPr>
              <w:t>Polaznici su osposobljeni za sudjelovanje u procesu izrade AF-ova i AD-ova.</w:t>
            </w:r>
          </w:p>
          <w:p w14:paraId="2C2BA922" w14:textId="77777777" w:rsidR="006C5B7F" w:rsidRPr="006C5B7F" w:rsidRDefault="006C5B7F" w:rsidP="000E1094">
            <w:pPr>
              <w:ind w:left="360"/>
              <w:contextualSpacing/>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hr-BA"/>
              </w:rPr>
            </w:pPr>
          </w:p>
        </w:tc>
      </w:tr>
      <w:tr w:rsidR="006C5B7F" w:rsidRPr="006C5B7F" w14:paraId="35343C9E" w14:textId="77777777" w:rsidTr="000E1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2F2F2" w:themeFill="background1" w:themeFillShade="F2"/>
          </w:tcPr>
          <w:p w14:paraId="1A2794C5" w14:textId="77777777" w:rsidR="006C5B7F" w:rsidRPr="006C5B7F" w:rsidRDefault="006C5B7F" w:rsidP="000E1094">
            <w:pPr>
              <w:jc w:val="center"/>
              <w:rPr>
                <w:rFonts w:ascii="Cambria" w:hAnsi="Cambria"/>
                <w:sz w:val="20"/>
                <w:szCs w:val="20"/>
                <w:lang w:val="hr-BA"/>
              </w:rPr>
            </w:pPr>
          </w:p>
          <w:p w14:paraId="7B83111F" w14:textId="77777777" w:rsidR="006C5B7F" w:rsidRPr="006C5B7F" w:rsidRDefault="006C5B7F" w:rsidP="000E1094">
            <w:pPr>
              <w:jc w:val="center"/>
              <w:rPr>
                <w:rFonts w:ascii="Cambria" w:hAnsi="Cambria"/>
                <w:color w:val="auto"/>
                <w:sz w:val="20"/>
                <w:szCs w:val="20"/>
                <w:lang w:val="hr-BA"/>
              </w:rPr>
            </w:pPr>
            <w:r w:rsidRPr="006C5B7F">
              <w:rPr>
                <w:rFonts w:ascii="Cambria" w:hAnsi="Cambria"/>
                <w:color w:val="auto"/>
                <w:sz w:val="20"/>
                <w:szCs w:val="20"/>
                <w:lang w:val="hr-BA"/>
              </w:rPr>
              <w:t>Metode izvedbe obuke</w:t>
            </w:r>
          </w:p>
          <w:p w14:paraId="6E34BE02" w14:textId="77777777" w:rsidR="006C5B7F" w:rsidRPr="006C5B7F" w:rsidRDefault="006C5B7F" w:rsidP="000E1094">
            <w:pPr>
              <w:jc w:val="center"/>
              <w:rPr>
                <w:rFonts w:ascii="Cambria" w:hAnsi="Cambria"/>
                <w:sz w:val="20"/>
                <w:szCs w:val="20"/>
                <w:lang w:val="hr-BA"/>
              </w:rPr>
            </w:pPr>
          </w:p>
        </w:tc>
        <w:tc>
          <w:tcPr>
            <w:tcW w:w="11605" w:type="dxa"/>
            <w:shd w:val="clear" w:color="auto" w:fill="F2F2F2" w:themeFill="background1" w:themeFillShade="F2"/>
          </w:tcPr>
          <w:p w14:paraId="786A345B" w14:textId="77777777" w:rsidR="006C5B7F" w:rsidRPr="006C5B7F" w:rsidRDefault="006C5B7F" w:rsidP="000E1094">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r w:rsidRPr="006C5B7F">
              <w:rPr>
                <w:rFonts w:ascii="Cambria" w:hAnsi="Cambria"/>
                <w:sz w:val="20"/>
                <w:szCs w:val="20"/>
                <w:lang w:val="hr-BA"/>
              </w:rPr>
              <w:t>Obuka se može držati kao klasična obuka u učionici ili webinar.</w:t>
            </w:r>
          </w:p>
          <w:p w14:paraId="1D677AFA" w14:textId="77777777" w:rsidR="006C5B7F" w:rsidRPr="006C5B7F" w:rsidRDefault="006C5B7F" w:rsidP="000E1094">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p>
          <w:p w14:paraId="25E57C4C" w14:textId="77777777" w:rsidR="006C5B7F" w:rsidRDefault="006C5B7F" w:rsidP="000E1094">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r w:rsidRPr="006C5B7F">
              <w:rPr>
                <w:rFonts w:ascii="Cambria" w:hAnsi="Cambria"/>
                <w:sz w:val="20"/>
                <w:szCs w:val="20"/>
                <w:lang w:val="hr-BA"/>
              </w:rPr>
              <w:t>Teorijski dio (prezentacije) i praktični dio (vježbe).</w:t>
            </w:r>
          </w:p>
          <w:p w14:paraId="4A4A8C40" w14:textId="77777777" w:rsidR="004E5D6E" w:rsidRDefault="004E5D6E" w:rsidP="000E1094">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p>
          <w:p w14:paraId="3D216BA9" w14:textId="77777777" w:rsidR="004E5D6E" w:rsidRDefault="004E5D6E" w:rsidP="004E5D6E">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es-ES"/>
              </w:rPr>
            </w:pPr>
            <w:proofErr w:type="spellStart"/>
            <w:r>
              <w:rPr>
                <w:rFonts w:ascii="Cambria" w:hAnsi="Cambria"/>
                <w:sz w:val="20"/>
                <w:szCs w:val="20"/>
                <w:lang w:val="es-ES"/>
              </w:rPr>
              <w:t>Prvi</w:t>
            </w:r>
            <w:proofErr w:type="spellEnd"/>
            <w:r>
              <w:rPr>
                <w:rFonts w:ascii="Cambria" w:hAnsi="Cambria"/>
                <w:sz w:val="20"/>
                <w:szCs w:val="20"/>
                <w:lang w:val="es-ES"/>
              </w:rPr>
              <w:t xml:space="preserve"> dan </w:t>
            </w:r>
            <w:proofErr w:type="spellStart"/>
            <w:r>
              <w:rPr>
                <w:rFonts w:ascii="Cambria" w:hAnsi="Cambria"/>
                <w:sz w:val="20"/>
                <w:szCs w:val="20"/>
                <w:lang w:val="es-ES"/>
              </w:rPr>
              <w:t>obuke</w:t>
            </w:r>
            <w:proofErr w:type="spellEnd"/>
            <w:r>
              <w:rPr>
                <w:rFonts w:ascii="Cambria" w:hAnsi="Cambria"/>
                <w:sz w:val="20"/>
                <w:szCs w:val="20"/>
                <w:lang w:val="es-ES"/>
              </w:rPr>
              <w:t xml:space="preserve"> (8 </w:t>
            </w:r>
            <w:proofErr w:type="spellStart"/>
            <w:r>
              <w:rPr>
                <w:rFonts w:ascii="Cambria" w:hAnsi="Cambria"/>
                <w:sz w:val="20"/>
                <w:szCs w:val="20"/>
                <w:lang w:val="es-ES"/>
              </w:rPr>
              <w:t>akademskih</w:t>
            </w:r>
            <w:proofErr w:type="spellEnd"/>
            <w:r>
              <w:rPr>
                <w:rFonts w:ascii="Cambria" w:hAnsi="Cambria"/>
                <w:sz w:val="20"/>
                <w:szCs w:val="20"/>
                <w:lang w:val="es-ES"/>
              </w:rPr>
              <w:t xml:space="preserve"> </w:t>
            </w:r>
            <w:proofErr w:type="spellStart"/>
            <w:r>
              <w:rPr>
                <w:rFonts w:ascii="Cambria" w:hAnsi="Cambria"/>
                <w:sz w:val="20"/>
                <w:szCs w:val="20"/>
                <w:lang w:val="es-ES"/>
              </w:rPr>
              <w:t>sati</w:t>
            </w:r>
            <w:proofErr w:type="spellEnd"/>
            <w:r>
              <w:rPr>
                <w:rFonts w:ascii="Cambria" w:hAnsi="Cambria"/>
                <w:sz w:val="20"/>
                <w:szCs w:val="20"/>
                <w:lang w:val="es-ES"/>
              </w:rPr>
              <w:t xml:space="preserve">) je </w:t>
            </w:r>
            <w:proofErr w:type="spellStart"/>
            <w:r>
              <w:rPr>
                <w:rFonts w:ascii="Cambria" w:hAnsi="Cambria"/>
                <w:sz w:val="20"/>
                <w:szCs w:val="20"/>
                <w:lang w:val="es-ES"/>
              </w:rPr>
              <w:t>teorijski</w:t>
            </w:r>
            <w:proofErr w:type="spellEnd"/>
            <w:r>
              <w:rPr>
                <w:rFonts w:ascii="Cambria" w:hAnsi="Cambria"/>
                <w:sz w:val="20"/>
                <w:szCs w:val="20"/>
                <w:lang w:val="es-ES"/>
              </w:rPr>
              <w:t xml:space="preserve">, a </w:t>
            </w:r>
            <w:proofErr w:type="spellStart"/>
            <w:r>
              <w:rPr>
                <w:rFonts w:ascii="Cambria" w:hAnsi="Cambria"/>
                <w:sz w:val="20"/>
                <w:szCs w:val="20"/>
                <w:lang w:val="es-ES"/>
              </w:rPr>
              <w:t>drugi</w:t>
            </w:r>
            <w:proofErr w:type="spellEnd"/>
            <w:r>
              <w:rPr>
                <w:rFonts w:ascii="Cambria" w:hAnsi="Cambria"/>
                <w:sz w:val="20"/>
                <w:szCs w:val="20"/>
                <w:lang w:val="es-ES"/>
              </w:rPr>
              <w:t xml:space="preserve"> dan </w:t>
            </w:r>
            <w:proofErr w:type="spellStart"/>
            <w:r>
              <w:rPr>
                <w:rFonts w:ascii="Cambria" w:hAnsi="Cambria"/>
                <w:sz w:val="20"/>
                <w:szCs w:val="20"/>
                <w:lang w:val="es-ES"/>
              </w:rPr>
              <w:t>obuke</w:t>
            </w:r>
            <w:proofErr w:type="spellEnd"/>
            <w:r>
              <w:rPr>
                <w:rFonts w:ascii="Cambria" w:hAnsi="Cambria"/>
                <w:sz w:val="20"/>
                <w:szCs w:val="20"/>
                <w:lang w:val="es-ES"/>
              </w:rPr>
              <w:t xml:space="preserve"> (8 </w:t>
            </w:r>
            <w:proofErr w:type="spellStart"/>
            <w:r>
              <w:rPr>
                <w:rFonts w:ascii="Cambria" w:hAnsi="Cambria"/>
                <w:sz w:val="20"/>
                <w:szCs w:val="20"/>
                <w:lang w:val="es-ES"/>
              </w:rPr>
              <w:t>akademskih</w:t>
            </w:r>
            <w:proofErr w:type="spellEnd"/>
            <w:r>
              <w:rPr>
                <w:rFonts w:ascii="Cambria" w:hAnsi="Cambria"/>
                <w:sz w:val="20"/>
                <w:szCs w:val="20"/>
                <w:lang w:val="es-ES"/>
              </w:rPr>
              <w:t xml:space="preserve"> </w:t>
            </w:r>
            <w:proofErr w:type="spellStart"/>
            <w:r>
              <w:rPr>
                <w:rFonts w:ascii="Cambria" w:hAnsi="Cambria"/>
                <w:sz w:val="20"/>
                <w:szCs w:val="20"/>
                <w:lang w:val="es-ES"/>
              </w:rPr>
              <w:t>sati</w:t>
            </w:r>
            <w:proofErr w:type="spellEnd"/>
            <w:r>
              <w:rPr>
                <w:rFonts w:ascii="Cambria" w:hAnsi="Cambria"/>
                <w:sz w:val="20"/>
                <w:szCs w:val="20"/>
                <w:lang w:val="es-ES"/>
              </w:rPr>
              <w:t xml:space="preserve">) je </w:t>
            </w:r>
            <w:proofErr w:type="spellStart"/>
            <w:r>
              <w:rPr>
                <w:rFonts w:ascii="Cambria" w:hAnsi="Cambria"/>
                <w:sz w:val="20"/>
                <w:szCs w:val="20"/>
                <w:lang w:val="es-ES"/>
              </w:rPr>
              <w:t>praktični</w:t>
            </w:r>
            <w:proofErr w:type="spellEnd"/>
            <w:r>
              <w:rPr>
                <w:rFonts w:ascii="Cambria" w:hAnsi="Cambria"/>
                <w:sz w:val="20"/>
                <w:szCs w:val="20"/>
                <w:lang w:val="es-ES"/>
              </w:rPr>
              <w:t xml:space="preserve"> rad.</w:t>
            </w:r>
          </w:p>
          <w:p w14:paraId="462BFEF9" w14:textId="77777777" w:rsidR="004E5D6E" w:rsidRDefault="004E5D6E" w:rsidP="004E5D6E">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es-ES"/>
              </w:rPr>
            </w:pPr>
            <w:proofErr w:type="spellStart"/>
            <w:r>
              <w:rPr>
                <w:rFonts w:ascii="Cambria" w:hAnsi="Cambria"/>
                <w:sz w:val="20"/>
                <w:szCs w:val="20"/>
                <w:lang w:val="es-ES"/>
              </w:rPr>
              <w:t>Praktični</w:t>
            </w:r>
            <w:proofErr w:type="spellEnd"/>
            <w:r>
              <w:rPr>
                <w:rFonts w:ascii="Cambria" w:hAnsi="Cambria"/>
                <w:sz w:val="20"/>
                <w:szCs w:val="20"/>
                <w:lang w:val="es-ES"/>
              </w:rPr>
              <w:t xml:space="preserve"> dio </w:t>
            </w:r>
            <w:proofErr w:type="spellStart"/>
            <w:r>
              <w:rPr>
                <w:rFonts w:ascii="Cambria" w:hAnsi="Cambria"/>
                <w:sz w:val="20"/>
                <w:szCs w:val="20"/>
                <w:lang w:val="es-ES"/>
              </w:rPr>
              <w:t>sastoji</w:t>
            </w:r>
            <w:proofErr w:type="spellEnd"/>
            <w:r>
              <w:rPr>
                <w:rFonts w:ascii="Cambria" w:hAnsi="Cambria"/>
                <w:sz w:val="20"/>
                <w:szCs w:val="20"/>
                <w:lang w:val="es-ES"/>
              </w:rPr>
              <w:t xml:space="preserve"> se </w:t>
            </w:r>
            <w:proofErr w:type="spellStart"/>
            <w:r>
              <w:rPr>
                <w:rFonts w:ascii="Cambria" w:hAnsi="Cambria"/>
                <w:sz w:val="20"/>
                <w:szCs w:val="20"/>
                <w:lang w:val="es-ES"/>
              </w:rPr>
              <w:t>od</w:t>
            </w:r>
            <w:proofErr w:type="spellEnd"/>
            <w:r>
              <w:rPr>
                <w:rFonts w:ascii="Cambria" w:hAnsi="Cambria"/>
                <w:sz w:val="20"/>
                <w:szCs w:val="20"/>
                <w:lang w:val="es-ES"/>
              </w:rPr>
              <w:t xml:space="preserve"> rada </w:t>
            </w:r>
            <w:proofErr w:type="spellStart"/>
            <w:r>
              <w:rPr>
                <w:rFonts w:ascii="Cambria" w:hAnsi="Cambria"/>
                <w:sz w:val="20"/>
                <w:szCs w:val="20"/>
                <w:lang w:val="es-ES"/>
              </w:rPr>
              <w:t>na</w:t>
            </w:r>
            <w:proofErr w:type="spellEnd"/>
            <w:r>
              <w:rPr>
                <w:rFonts w:ascii="Cambria" w:hAnsi="Cambria"/>
                <w:sz w:val="20"/>
                <w:szCs w:val="20"/>
                <w:lang w:val="es-ES"/>
              </w:rPr>
              <w:t xml:space="preserve"> </w:t>
            </w:r>
            <w:proofErr w:type="spellStart"/>
            <w:r>
              <w:rPr>
                <w:rFonts w:ascii="Cambria" w:hAnsi="Cambria"/>
                <w:sz w:val="20"/>
                <w:szCs w:val="20"/>
                <w:lang w:val="es-ES"/>
              </w:rPr>
              <w:t>konkretnim</w:t>
            </w:r>
            <w:proofErr w:type="spellEnd"/>
            <w:r>
              <w:rPr>
                <w:rFonts w:ascii="Cambria" w:hAnsi="Cambria"/>
                <w:sz w:val="20"/>
                <w:szCs w:val="20"/>
                <w:lang w:val="es-ES"/>
              </w:rPr>
              <w:t xml:space="preserve"> </w:t>
            </w:r>
            <w:proofErr w:type="spellStart"/>
            <w:r>
              <w:rPr>
                <w:rFonts w:ascii="Cambria" w:hAnsi="Cambria"/>
                <w:sz w:val="20"/>
                <w:szCs w:val="20"/>
                <w:lang w:val="es-ES"/>
              </w:rPr>
              <w:t>primjerima</w:t>
            </w:r>
            <w:proofErr w:type="spellEnd"/>
            <w:r>
              <w:rPr>
                <w:rFonts w:ascii="Cambria" w:hAnsi="Cambria"/>
                <w:sz w:val="20"/>
                <w:szCs w:val="20"/>
                <w:lang w:val="es-ES"/>
              </w:rPr>
              <w:t xml:space="preserve"> </w:t>
            </w:r>
            <w:proofErr w:type="spellStart"/>
            <w:r>
              <w:rPr>
                <w:rFonts w:ascii="Cambria" w:hAnsi="Cambria"/>
                <w:sz w:val="20"/>
                <w:szCs w:val="20"/>
                <w:lang w:val="es-ES"/>
              </w:rPr>
              <w:t>izrade</w:t>
            </w:r>
            <w:proofErr w:type="spellEnd"/>
            <w:r>
              <w:rPr>
                <w:rFonts w:ascii="Cambria" w:hAnsi="Cambria"/>
                <w:sz w:val="20"/>
                <w:szCs w:val="20"/>
                <w:lang w:val="es-ES"/>
              </w:rPr>
              <w:t xml:space="preserve"> SR-a, AF-a i AD-a.</w:t>
            </w:r>
          </w:p>
          <w:p w14:paraId="68DD332A" w14:textId="77777777" w:rsidR="004E5D6E" w:rsidRPr="006C5B7F" w:rsidRDefault="004E5D6E" w:rsidP="000E1094">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p>
          <w:p w14:paraId="6FDE4147" w14:textId="77777777" w:rsidR="006C5B7F" w:rsidRPr="006C5B7F" w:rsidRDefault="006C5B7F" w:rsidP="000E1094">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p>
          <w:p w14:paraId="3C7B408C" w14:textId="4B989110" w:rsidR="006C5B7F" w:rsidRPr="006C5B7F" w:rsidRDefault="006C5B7F" w:rsidP="000E1094">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r w:rsidRPr="006C5B7F">
              <w:rPr>
                <w:rFonts w:ascii="Cambria" w:hAnsi="Cambria"/>
                <w:sz w:val="20"/>
                <w:szCs w:val="20"/>
                <w:lang w:val="hr-BA"/>
              </w:rPr>
              <w:t>Ukoliko se obuka drži u formi webinara, skraćenje nje</w:t>
            </w:r>
            <w:r w:rsidR="00453D02">
              <w:rPr>
                <w:rFonts w:ascii="Cambria" w:hAnsi="Cambria"/>
                <w:sz w:val="20"/>
                <w:szCs w:val="20"/>
                <w:lang w:val="hr-BA"/>
              </w:rPr>
              <w:t>zi</w:t>
            </w:r>
            <w:r w:rsidRPr="006C5B7F">
              <w:rPr>
                <w:rFonts w:ascii="Cambria" w:hAnsi="Cambria"/>
                <w:sz w:val="20"/>
                <w:szCs w:val="20"/>
                <w:lang w:val="hr-BA"/>
              </w:rPr>
              <w:t>nog trajanja treba biti provedeno na način da se osigura razmjerno pokrivanje cjelokupnog sadržaja.</w:t>
            </w:r>
          </w:p>
          <w:p w14:paraId="5F680928" w14:textId="77777777" w:rsidR="006C5B7F" w:rsidRPr="006C5B7F" w:rsidRDefault="006C5B7F" w:rsidP="000E1094">
            <w:pPr>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hr-BA"/>
              </w:rPr>
            </w:pPr>
          </w:p>
        </w:tc>
      </w:tr>
    </w:tbl>
    <w:p w14:paraId="22E9662D" w14:textId="77777777" w:rsidR="001E47E4" w:rsidRPr="006C5B7F" w:rsidRDefault="001E47E4">
      <w:pPr>
        <w:rPr>
          <w:lang w:val="hr-BA"/>
        </w:rPr>
      </w:pPr>
    </w:p>
    <w:sectPr w:rsidR="001E47E4" w:rsidRPr="006C5B7F" w:rsidSect="006C5B7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0796"/>
    <w:multiLevelType w:val="hybridMultilevel"/>
    <w:tmpl w:val="2CF4F67C"/>
    <w:lvl w:ilvl="0" w:tplc="10090001">
      <w:start w:val="1"/>
      <w:numFmt w:val="bullet"/>
      <w:lvlText w:val=""/>
      <w:lvlJc w:val="left"/>
      <w:pPr>
        <w:ind w:left="360" w:hanging="360"/>
      </w:pPr>
      <w:rPr>
        <w:rFonts w:ascii="Symbol" w:hAnsi="Symbol"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1" w15:restartNumberingAfterBreak="0">
    <w:nsid w:val="3F57211F"/>
    <w:multiLevelType w:val="hybridMultilevel"/>
    <w:tmpl w:val="5A02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F5E51"/>
    <w:multiLevelType w:val="hybridMultilevel"/>
    <w:tmpl w:val="86E687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480D60"/>
    <w:multiLevelType w:val="hybridMultilevel"/>
    <w:tmpl w:val="7DE64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7482810"/>
    <w:multiLevelType w:val="hybridMultilevel"/>
    <w:tmpl w:val="143203B8"/>
    <w:lvl w:ilvl="0" w:tplc="377E2CFC">
      <w:start w:val="23"/>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DD7A6C"/>
    <w:multiLevelType w:val="hybridMultilevel"/>
    <w:tmpl w:val="5628D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5B7AB8"/>
    <w:multiLevelType w:val="hybridMultilevel"/>
    <w:tmpl w:val="741E06FC"/>
    <w:lvl w:ilvl="0" w:tplc="47D8B082">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33405E"/>
    <w:multiLevelType w:val="hybridMultilevel"/>
    <w:tmpl w:val="32A42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C13F68"/>
    <w:multiLevelType w:val="hybridMultilevel"/>
    <w:tmpl w:val="4D7AC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5665537">
    <w:abstractNumId w:val="8"/>
  </w:num>
  <w:num w:numId="2" w16cid:durableId="532616976">
    <w:abstractNumId w:val="3"/>
  </w:num>
  <w:num w:numId="3" w16cid:durableId="1750275893">
    <w:abstractNumId w:val="2"/>
  </w:num>
  <w:num w:numId="4" w16cid:durableId="2056931730">
    <w:abstractNumId w:val="0"/>
  </w:num>
  <w:num w:numId="5" w16cid:durableId="1019434503">
    <w:abstractNumId w:val="5"/>
  </w:num>
  <w:num w:numId="6" w16cid:durableId="279461305">
    <w:abstractNumId w:val="4"/>
  </w:num>
  <w:num w:numId="7" w16cid:durableId="306012247">
    <w:abstractNumId w:val="7"/>
  </w:num>
  <w:num w:numId="8" w16cid:durableId="722558676">
    <w:abstractNumId w:val="6"/>
  </w:num>
  <w:num w:numId="9" w16cid:durableId="93448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82"/>
    <w:rsid w:val="00002782"/>
    <w:rsid w:val="001E47E4"/>
    <w:rsid w:val="00453D02"/>
    <w:rsid w:val="004E5D6E"/>
    <w:rsid w:val="006A7001"/>
    <w:rsid w:val="006C5B7F"/>
    <w:rsid w:val="00B9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F34D"/>
  <w15:chartTrackingRefBased/>
  <w15:docId w15:val="{0430B983-545B-4206-8C85-ACE953D8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6C5B7F"/>
    <w:rPr>
      <w:kern w:val="0"/>
      <w14:ligatures w14:val="none"/>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6C5B7F"/>
    <w:pPr>
      <w:ind w:left="720"/>
      <w:contextualSpacing/>
    </w:pPr>
  </w:style>
  <w:style w:type="table" w:customStyle="1" w:styleId="GridTable5Dark-Accent13">
    <w:name w:val="Grid Table 5 Dark - Accent 13"/>
    <w:basedOn w:val="Normalnatabela"/>
    <w:next w:val="Tamnatabelareetke5-isticanje1"/>
    <w:uiPriority w:val="50"/>
    <w:rsid w:val="006C5B7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mnatabelareetke5-isticanje1">
    <w:name w:val="Grid Table 5 Dark Accent 1"/>
    <w:basedOn w:val="Normalnatabela"/>
    <w:uiPriority w:val="50"/>
    <w:rsid w:val="006C5B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Ponovnipregled">
    <w:name w:val="Revision"/>
    <w:hidden/>
    <w:uiPriority w:val="99"/>
    <w:semiHidden/>
    <w:rsid w:val="006C5B7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5F405-F80F-4113-B5A3-80CB6585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2933</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Rimac</dc:creator>
  <cp:keywords/>
  <dc:description/>
  <cp:lastModifiedBy>Suzana Mijatović</cp:lastModifiedBy>
  <cp:revision>3</cp:revision>
  <dcterms:created xsi:type="dcterms:W3CDTF">2024-01-25T13:46:00Z</dcterms:created>
  <dcterms:modified xsi:type="dcterms:W3CDTF">2024-01-25T14:07:00Z</dcterms:modified>
</cp:coreProperties>
</file>