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elareetke5-isticanje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50"/>
        <w:gridCol w:w="10700"/>
      </w:tblGrid>
      <w:tr w:rsidR="00EB759F" w:rsidRPr="00B6737A" w14:paraId="55FD0C2B" w14:textId="77777777" w:rsidTr="006F1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7652B44D" w14:textId="77777777" w:rsidR="00EB759F" w:rsidRPr="006F17F6" w:rsidRDefault="001F0D6E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bs-Cyrl-BA"/>
              </w:rPr>
            </w:pPr>
            <w:r w:rsidRPr="006F17F6">
              <w:rPr>
                <w:rFonts w:ascii="Cambria" w:hAnsi="Cambria"/>
                <w:color w:val="auto"/>
                <w:sz w:val="20"/>
                <w:szCs w:val="20"/>
                <w:lang w:val="bs-Cyrl-BA"/>
              </w:rPr>
              <w:t>Назив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5DDBD812" w14:textId="75D1DD64" w:rsidR="00EB759F" w:rsidRPr="003C41B5" w:rsidRDefault="007879B2" w:rsidP="003C41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</w:pPr>
            <w:r>
              <w:rPr>
                <w:rFonts w:ascii="Cambria" w:hAnsi="Cambria"/>
                <w:color w:val="auto"/>
                <w:sz w:val="28"/>
                <w:szCs w:val="28"/>
                <w:lang w:val="sr-Cyrl-RS"/>
              </w:rPr>
              <w:t>и</w:t>
            </w:r>
            <w:r w:rsidR="003C41B5" w:rsidRPr="003C41B5">
              <w:rPr>
                <w:rFonts w:ascii="Cambria" w:hAnsi="Cambria"/>
                <w:color w:val="auto"/>
                <w:sz w:val="28"/>
                <w:szCs w:val="28"/>
              </w:rPr>
              <w:t xml:space="preserve">) ПРИПРЕМА </w:t>
            </w:r>
            <w:r w:rsidR="003C41B5">
              <w:rPr>
                <w:rFonts w:ascii="Cambria" w:hAnsi="Cambria"/>
                <w:color w:val="auto"/>
                <w:sz w:val="28"/>
                <w:szCs w:val="28"/>
              </w:rPr>
              <w:t>СПЕЦИФИЧНИХ ДОКУМЕНАТА ЗА КОРИШЋ</w:t>
            </w:r>
            <w:r w:rsidR="003C41B5" w:rsidRPr="003C41B5">
              <w:rPr>
                <w:rFonts w:ascii="Cambria" w:hAnsi="Cambria"/>
                <w:color w:val="auto"/>
                <w:sz w:val="28"/>
                <w:szCs w:val="28"/>
              </w:rPr>
              <w:t>ЕЊЕ ПРЕТПРИСТУПНЕ ПОМОЋИ ЕУРОПСКЕ УНИЈЕ</w:t>
            </w:r>
          </w:p>
        </w:tc>
      </w:tr>
      <w:tr w:rsidR="00EB759F" w:rsidRPr="002342D9" w14:paraId="30522EE6" w14:textId="77777777" w:rsidTr="006F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67C8C175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1BB29EAA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E7DAE95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69F6744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4C496D13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37EA55C8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33E9B85E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852B867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0879217C" w14:textId="77777777" w:rsidR="000936DE" w:rsidRDefault="000936DE" w:rsidP="000936DE">
            <w:pPr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A065243" w14:textId="77777777" w:rsidR="00EB759F" w:rsidRPr="002342D9" w:rsidRDefault="005A230A" w:rsidP="000936D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Садржај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4F8EA15E" w14:textId="77777777" w:rsidR="003C41B5" w:rsidRPr="003C41B5" w:rsidRDefault="003C41B5" w:rsidP="003C41B5">
            <w:pPr>
              <w:pStyle w:val="Paragrafspisk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3C41B5">
              <w:rPr>
                <w:rFonts w:ascii="Cambria" w:hAnsi="Cambria"/>
                <w:b/>
                <w:sz w:val="20"/>
                <w:szCs w:val="20"/>
                <w:lang w:val="sr-Cyrl-BA"/>
              </w:rPr>
              <w:t>Гла</w:t>
            </w:r>
            <w:r>
              <w:rPr>
                <w:rFonts w:ascii="Cambria" w:hAnsi="Cambria"/>
                <w:b/>
                <w:sz w:val="20"/>
                <w:szCs w:val="20"/>
                <w:lang w:val="sr-Cyrl-BA"/>
              </w:rPr>
              <w:t xml:space="preserve">вне промјене и изазови у ИПА </w:t>
            </w:r>
            <w:r>
              <w:rPr>
                <w:rFonts w:ascii="Cambria" w:hAnsi="Cambria"/>
                <w:b/>
                <w:sz w:val="20"/>
                <w:szCs w:val="20"/>
                <w:lang w:val="hr-BA"/>
              </w:rPr>
              <w:t>III</w:t>
            </w:r>
            <w:r w:rsidRPr="003C41B5">
              <w:rPr>
                <w:rFonts w:ascii="Cambria" w:hAnsi="Cambria"/>
                <w:b/>
                <w:sz w:val="20"/>
                <w:szCs w:val="20"/>
                <w:lang w:val="sr-Cyrl-BA"/>
              </w:rPr>
              <w:t xml:space="preserve">: </w:t>
            </w:r>
          </w:p>
          <w:p w14:paraId="2DD16280" w14:textId="77777777" w:rsidR="003C41B5" w:rsidRDefault="003C41B5" w:rsidP="003C41B5">
            <w:pPr>
              <w:pStyle w:val="Paragrafspisk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 xml:space="preserve">Основни елементи и промјене у односу на ИПА 2014-2020 </w:t>
            </w:r>
          </w:p>
          <w:p w14:paraId="54BC89B0" w14:textId="77777777" w:rsidR="003C41B5" w:rsidRDefault="003C41B5" w:rsidP="003C41B5">
            <w:pPr>
              <w:pStyle w:val="Paragrafspisk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 xml:space="preserve">Специфична ИПА </w:t>
            </w:r>
            <w:r w:rsidRPr="003C41B5">
              <w:rPr>
                <w:rFonts w:ascii="Cambria" w:hAnsi="Cambria"/>
                <w:sz w:val="20"/>
                <w:szCs w:val="20"/>
                <w:lang w:val="hr-BA"/>
              </w:rPr>
              <w:t>III</w:t>
            </w: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 xml:space="preserve"> терминологија </w:t>
            </w:r>
          </w:p>
          <w:p w14:paraId="5FFAFFD3" w14:textId="77777777" w:rsidR="003C41B5" w:rsidRPr="003C41B5" w:rsidRDefault="003C41B5" w:rsidP="003C41B5">
            <w:pPr>
              <w:pStyle w:val="Paragrafspisk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 xml:space="preserve">Основни елементи ИПА </w:t>
            </w:r>
            <w:r w:rsidRPr="003C41B5">
              <w:rPr>
                <w:rFonts w:ascii="Cambria" w:hAnsi="Cambria"/>
                <w:sz w:val="20"/>
                <w:szCs w:val="20"/>
                <w:lang w:val="hr-BA"/>
              </w:rPr>
              <w:t>III</w:t>
            </w: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 xml:space="preserve"> (заједнички стратешки оквир, заједнички буџет и подјела средстава, стратешки </w:t>
            </w:r>
          </w:p>
          <w:p w14:paraId="3B352828" w14:textId="77777777" w:rsidR="003C41B5" w:rsidRPr="003C41B5" w:rsidRDefault="003C41B5" w:rsidP="003C4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sz w:val="20"/>
                <w:szCs w:val="20"/>
                <w:lang w:val="hr-BA"/>
              </w:rPr>
              <w:t xml:space="preserve">                </w:t>
            </w: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 xml:space="preserve">документ државе кориснице помоћи ЕУ - Стратешки одговор) </w:t>
            </w:r>
          </w:p>
          <w:p w14:paraId="01524C98" w14:textId="77777777" w:rsidR="003C41B5" w:rsidRPr="003C41B5" w:rsidRDefault="003C41B5" w:rsidP="003C41B5">
            <w:pPr>
              <w:pStyle w:val="Paragrafspisk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3C41B5">
              <w:rPr>
                <w:rFonts w:ascii="Cambria" w:hAnsi="Cambria"/>
                <w:b/>
                <w:sz w:val="20"/>
                <w:szCs w:val="20"/>
                <w:lang w:val="sr-Cyrl-BA"/>
              </w:rPr>
              <w:t xml:space="preserve">ИПА </w:t>
            </w:r>
            <w:r w:rsidRPr="003C41B5">
              <w:rPr>
                <w:rFonts w:ascii="Cambria" w:hAnsi="Cambria"/>
                <w:b/>
                <w:sz w:val="20"/>
                <w:szCs w:val="20"/>
                <w:lang w:val="hr-BA"/>
              </w:rPr>
              <w:t>II</w:t>
            </w:r>
            <w:r w:rsidRPr="003C41B5">
              <w:rPr>
                <w:rFonts w:ascii="Cambria" w:hAnsi="Cambria"/>
                <w:b/>
                <w:sz w:val="20"/>
                <w:szCs w:val="20"/>
                <w:lang w:val="sr-Cyrl-BA"/>
              </w:rPr>
              <w:t xml:space="preserve"> правни и стратешки оквир: </w:t>
            </w:r>
          </w:p>
          <w:p w14:paraId="4D511053" w14:textId="77777777" w:rsidR="003C41B5" w:rsidRPr="003C41B5" w:rsidRDefault="003C41B5" w:rsidP="003C4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>•</w:t>
            </w: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ab/>
              <w:t xml:space="preserve">Хијерархија докумената </w:t>
            </w:r>
          </w:p>
          <w:p w14:paraId="39EC2755" w14:textId="77777777" w:rsidR="003C41B5" w:rsidRPr="003C41B5" w:rsidRDefault="003C41B5" w:rsidP="003C4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>•</w:t>
            </w: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ab/>
              <w:t xml:space="preserve">Представљање кључних правних докумената    </w:t>
            </w:r>
          </w:p>
          <w:p w14:paraId="33ADAB64" w14:textId="77777777" w:rsidR="003C41B5" w:rsidRDefault="003C41B5" w:rsidP="003C4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sz w:val="20"/>
                <w:szCs w:val="20"/>
                <w:lang w:val="sr-Cyrl-BA"/>
              </w:rPr>
              <w:t>•</w:t>
            </w:r>
            <w:r>
              <w:rPr>
                <w:rFonts w:ascii="Cambria" w:hAnsi="Cambria"/>
                <w:sz w:val="20"/>
                <w:szCs w:val="20"/>
                <w:lang w:val="sr-Cyrl-BA"/>
              </w:rPr>
              <w:tab/>
              <w:t xml:space="preserve">ИПА </w:t>
            </w:r>
            <w:r>
              <w:rPr>
                <w:rFonts w:ascii="Cambria" w:hAnsi="Cambria"/>
                <w:sz w:val="20"/>
                <w:szCs w:val="20"/>
                <w:lang w:val="hr-BA"/>
              </w:rPr>
              <w:t>III</w:t>
            </w: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 xml:space="preserve"> пирамида правних и стратешких докумената: Споразум о финансијском партнерс</w:t>
            </w:r>
            <w:r>
              <w:rPr>
                <w:rFonts w:ascii="Cambria" w:hAnsi="Cambria"/>
                <w:sz w:val="20"/>
                <w:szCs w:val="20"/>
                <w:lang w:val="sr-Cyrl-BA"/>
              </w:rPr>
              <w:t xml:space="preserve">ком оквиру   </w:t>
            </w:r>
          </w:p>
          <w:p w14:paraId="2894E80E" w14:textId="77777777" w:rsidR="003C41B5" w:rsidRPr="003C41B5" w:rsidRDefault="003C41B5" w:rsidP="003C4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sz w:val="20"/>
                <w:szCs w:val="20"/>
                <w:lang w:val="hr-BA"/>
              </w:rPr>
              <w:t xml:space="preserve">                </w:t>
            </w: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>(ФФПА), Стратешки одговор (СР),  Акциони документ (АД), Идејни приједлог (АФ)</w:t>
            </w:r>
          </w:p>
          <w:p w14:paraId="73973AEC" w14:textId="77777777" w:rsidR="003C41B5" w:rsidRPr="004076F8" w:rsidRDefault="003C41B5" w:rsidP="004076F8">
            <w:pPr>
              <w:pStyle w:val="Paragrafspisk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4076F8">
              <w:rPr>
                <w:rFonts w:ascii="Cambria" w:hAnsi="Cambria"/>
                <w:sz w:val="20"/>
                <w:szCs w:val="20"/>
                <w:lang w:val="sr-Cyrl-BA"/>
              </w:rPr>
              <w:t xml:space="preserve"> </w:t>
            </w:r>
            <w:r w:rsidRPr="004076F8">
              <w:rPr>
                <w:rFonts w:ascii="Cambria" w:hAnsi="Cambria"/>
                <w:b/>
                <w:sz w:val="20"/>
                <w:szCs w:val="20"/>
                <w:lang w:val="sr-Cyrl-BA"/>
              </w:rPr>
              <w:t>Израда програмских докумената:</w:t>
            </w:r>
          </w:p>
          <w:p w14:paraId="0BBC67C6" w14:textId="77777777" w:rsidR="003C41B5" w:rsidRPr="003C41B5" w:rsidRDefault="003C41B5" w:rsidP="003C4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>•</w:t>
            </w: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ab/>
              <w:t xml:space="preserve">Интервентна логика и узајамна веза између  СР, АД-а и АФ-а </w:t>
            </w:r>
          </w:p>
          <w:p w14:paraId="55E5CA1B" w14:textId="77777777" w:rsidR="003C41B5" w:rsidRPr="003C41B5" w:rsidRDefault="003C41B5" w:rsidP="003C4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>•</w:t>
            </w: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ab/>
              <w:t xml:space="preserve">СР у процесу програмирања - сврха, улога и садржај </w:t>
            </w:r>
          </w:p>
          <w:p w14:paraId="6B8749F8" w14:textId="77777777" w:rsidR="003C41B5" w:rsidRPr="003C41B5" w:rsidRDefault="003C41B5" w:rsidP="003C4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>•</w:t>
            </w: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ab/>
              <w:t xml:space="preserve">АФ у процесу програмирања - сврха, улога и садржај </w:t>
            </w:r>
          </w:p>
          <w:p w14:paraId="402D98F8" w14:textId="77777777" w:rsidR="00EB759F" w:rsidRPr="003C41B5" w:rsidRDefault="003C41B5" w:rsidP="003C4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BA"/>
              </w:rPr>
            </w:pP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>•</w:t>
            </w:r>
            <w:r w:rsidRPr="003C41B5">
              <w:rPr>
                <w:rFonts w:ascii="Cambria" w:hAnsi="Cambria"/>
                <w:sz w:val="20"/>
                <w:szCs w:val="20"/>
                <w:lang w:val="sr-Cyrl-BA"/>
              </w:rPr>
              <w:tab/>
              <w:t>АД у процесу програмирања - сврха, улога и садржај</w:t>
            </w:r>
          </w:p>
        </w:tc>
      </w:tr>
      <w:tr w:rsidR="00EB759F" w:rsidRPr="002342D9" w14:paraId="002A4B7F" w14:textId="77777777" w:rsidTr="006F1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5BDDE7FF" w14:textId="77777777" w:rsidR="00EB759F" w:rsidRPr="002342D9" w:rsidRDefault="000936DE" w:rsidP="005A230A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Т</w:t>
            </w:r>
            <w:r w:rsidR="005A230A"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 xml:space="preserve">рајање </w:t>
            </w:r>
            <w:r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 xml:space="preserve">обуке </w:t>
            </w:r>
            <w:r w:rsidR="005A230A"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изражено бројем академских часова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6B1A158C" w14:textId="77777777" w:rsidR="00EB759F" w:rsidRPr="002342D9" w:rsidRDefault="00EB759F" w:rsidP="00A4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  <w:p w14:paraId="62B99BFC" w14:textId="55198D17" w:rsidR="006F17F6" w:rsidRPr="007879B2" w:rsidRDefault="00D51E5B" w:rsidP="00D51E5B">
            <w:pPr>
              <w:pStyle w:val="Paragrafspisk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879B2">
              <w:rPr>
                <w:rFonts w:ascii="Cambria" w:hAnsi="Cambria"/>
                <w:sz w:val="20"/>
                <w:szCs w:val="20"/>
                <w:lang w:val="sr-Cyrl-BA"/>
              </w:rPr>
              <w:t xml:space="preserve">Класична обука у учионици: </w:t>
            </w:r>
            <w:r w:rsidR="007879B2" w:rsidRPr="007879B2">
              <w:rPr>
                <w:rFonts w:ascii="Cambria" w:hAnsi="Cambria"/>
                <w:sz w:val="20"/>
                <w:szCs w:val="20"/>
                <w:lang w:val="sr-Cyrl-BA"/>
              </w:rPr>
              <w:t>16</w:t>
            </w:r>
            <w:r w:rsidR="006F17F6" w:rsidRPr="007879B2">
              <w:rPr>
                <w:rFonts w:ascii="Cambria" w:hAnsi="Cambria"/>
                <w:sz w:val="20"/>
                <w:szCs w:val="20"/>
                <w:lang w:val="sr-Cyrl-BA"/>
              </w:rPr>
              <w:t xml:space="preserve"> академских часова, т</w:t>
            </w:r>
            <w:r w:rsidR="002342D9" w:rsidRPr="007879B2">
              <w:rPr>
                <w:rFonts w:ascii="Cambria" w:hAnsi="Cambria"/>
                <w:sz w:val="20"/>
                <w:szCs w:val="20"/>
                <w:lang w:val="sr-Cyrl-BA"/>
              </w:rPr>
              <w:t xml:space="preserve">о </w:t>
            </w:r>
            <w:r w:rsidR="006F17F6" w:rsidRPr="007879B2">
              <w:rPr>
                <w:rFonts w:ascii="Cambria" w:hAnsi="Cambria"/>
                <w:sz w:val="20"/>
                <w:szCs w:val="20"/>
                <w:lang w:val="sr-Cyrl-BA"/>
              </w:rPr>
              <w:t>ј</w:t>
            </w:r>
            <w:r w:rsidR="002342D9" w:rsidRPr="007879B2">
              <w:rPr>
                <w:rFonts w:ascii="Cambria" w:hAnsi="Cambria"/>
                <w:sz w:val="20"/>
                <w:szCs w:val="20"/>
                <w:lang w:val="sr-Cyrl-BA"/>
              </w:rPr>
              <w:t>ест</w:t>
            </w:r>
            <w:r w:rsidRPr="007879B2">
              <w:rPr>
                <w:rFonts w:ascii="Cambria" w:hAnsi="Cambria"/>
                <w:sz w:val="20"/>
                <w:szCs w:val="20"/>
                <w:lang w:val="sr-Cyrl-BA"/>
              </w:rPr>
              <w:t xml:space="preserve"> обука у трајању од </w:t>
            </w:r>
            <w:r w:rsidR="007879B2" w:rsidRPr="007879B2">
              <w:rPr>
                <w:rFonts w:ascii="Cambria" w:hAnsi="Cambria"/>
                <w:sz w:val="20"/>
                <w:szCs w:val="20"/>
                <w:lang w:val="sr-Cyrl-BA"/>
              </w:rPr>
              <w:t>два</w:t>
            </w:r>
            <w:r w:rsidRPr="007879B2">
              <w:rPr>
                <w:rFonts w:ascii="Cambria" w:hAnsi="Cambria"/>
                <w:sz w:val="20"/>
                <w:szCs w:val="20"/>
                <w:lang w:val="sr-Cyrl-BA"/>
              </w:rPr>
              <w:t xml:space="preserve"> дана</w:t>
            </w:r>
            <w:r w:rsidR="007879B2" w:rsidRPr="007879B2">
              <w:rPr>
                <w:rFonts w:ascii="Cambria" w:hAnsi="Cambria"/>
                <w:sz w:val="20"/>
                <w:szCs w:val="20"/>
                <w:lang w:val="sr-Cyrl-BA"/>
              </w:rPr>
              <w:t xml:space="preserve"> </w:t>
            </w:r>
            <w:r w:rsidR="007879B2" w:rsidRPr="007879B2">
              <w:rPr>
                <w:rFonts w:ascii="Cambria" w:eastAsia="Calibri" w:hAnsi="Cambria" w:cs="Times New Roman"/>
                <w:sz w:val="20"/>
                <w:szCs w:val="20"/>
                <w:lang w:val="hr-BA"/>
              </w:rPr>
              <w:t xml:space="preserve">по 8 академских </w:t>
            </w:r>
            <w:r w:rsidR="007879B2" w:rsidRPr="007879B2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часова</w:t>
            </w:r>
          </w:p>
          <w:p w14:paraId="33773B4A" w14:textId="4CBAF011" w:rsidR="006F17F6" w:rsidRPr="002342D9" w:rsidRDefault="00D51E5B" w:rsidP="006F17F6">
            <w:pPr>
              <w:pStyle w:val="Paragrafspis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sz w:val="20"/>
                <w:szCs w:val="20"/>
                <w:lang w:val="sr-Cyrl-BA"/>
              </w:rPr>
              <w:t xml:space="preserve">Вебинар: </w:t>
            </w:r>
            <w:r w:rsidR="007879B2" w:rsidRPr="006C5B7F">
              <w:rPr>
                <w:rFonts w:ascii="Cambria" w:eastAsia="Calibri" w:hAnsi="Cambria" w:cs="Times New Roman"/>
                <w:sz w:val="20"/>
                <w:szCs w:val="20"/>
                <w:lang w:val="hr-BA"/>
              </w:rPr>
              <w:t xml:space="preserve">10 академских </w:t>
            </w:r>
            <w:r w:rsidR="007879B2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часова</w:t>
            </w:r>
            <w:r w:rsidR="007879B2" w:rsidRPr="006C5B7F">
              <w:rPr>
                <w:rFonts w:ascii="Cambria" w:eastAsia="Calibri" w:hAnsi="Cambria" w:cs="Times New Roman"/>
                <w:sz w:val="20"/>
                <w:szCs w:val="20"/>
                <w:lang w:val="hr-BA"/>
              </w:rPr>
              <w:t xml:space="preserve"> то јест 2 дана по 5 академских </w:t>
            </w:r>
            <w:r w:rsidR="007879B2">
              <w:rPr>
                <w:rFonts w:ascii="Cambria" w:eastAsia="Calibri" w:hAnsi="Cambria" w:cs="Times New Roman"/>
                <w:sz w:val="20"/>
                <w:szCs w:val="20"/>
                <w:lang w:val="sr-Cyrl-RS"/>
              </w:rPr>
              <w:t>часова</w:t>
            </w:r>
            <w:r w:rsidR="007879B2" w:rsidRPr="006C5B7F" w:rsidDel="006C5B7F">
              <w:rPr>
                <w:rFonts w:ascii="Cambria" w:eastAsia="Calibri" w:hAnsi="Cambria" w:cs="Times New Roman"/>
                <w:sz w:val="20"/>
                <w:szCs w:val="20"/>
                <w:lang w:val="hr-BA"/>
              </w:rPr>
              <w:t xml:space="preserve"> </w:t>
            </w:r>
            <w:r w:rsidR="007879B2" w:rsidRPr="006C5B7F">
              <w:rPr>
                <w:rFonts w:ascii="Cambria" w:hAnsi="Cambria"/>
                <w:sz w:val="20"/>
                <w:szCs w:val="20"/>
                <w:lang w:val="hr-BA"/>
              </w:rPr>
              <w:t xml:space="preserve"> </w:t>
            </w:r>
          </w:p>
        </w:tc>
      </w:tr>
      <w:tr w:rsidR="00EB759F" w:rsidRPr="002342D9" w14:paraId="72DE934D" w14:textId="77777777" w:rsidTr="006F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719EF0CB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9889BA6" w14:textId="77777777" w:rsidR="005A230A" w:rsidRPr="002342D9" w:rsidRDefault="005A230A" w:rsidP="00D51E5B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Опис обуке</w:t>
            </w:r>
          </w:p>
          <w:p w14:paraId="08C819EE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7F978537" w14:textId="15DC8E32" w:rsidR="00885AB6" w:rsidRPr="002342D9" w:rsidRDefault="00D51E5B" w:rsidP="003C4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sz w:val="20"/>
                <w:szCs w:val="20"/>
                <w:lang w:val="sr-Cyrl-BA"/>
              </w:rPr>
              <w:t xml:space="preserve">ИПА </w:t>
            </w:r>
            <w:r>
              <w:rPr>
                <w:rFonts w:ascii="Cambria" w:hAnsi="Cambria"/>
                <w:sz w:val="20"/>
                <w:szCs w:val="20"/>
                <w:lang w:val="hr-BA"/>
              </w:rPr>
              <w:t>III</w:t>
            </w:r>
            <w:r w:rsidRPr="00D51E5B">
              <w:rPr>
                <w:rFonts w:ascii="Cambria" w:hAnsi="Cambria"/>
                <w:sz w:val="20"/>
                <w:szCs w:val="20"/>
                <w:lang w:val="sr-Cyrl-BA"/>
              </w:rPr>
              <w:t xml:space="preserve"> је инструмент претприступне помоћи ЕУ за период 2021-2027 који се с аспекта планирања помоћи ра</w:t>
            </w:r>
            <w:r>
              <w:rPr>
                <w:rFonts w:ascii="Cambria" w:hAnsi="Cambria"/>
                <w:sz w:val="20"/>
                <w:szCs w:val="20"/>
                <w:lang w:val="sr-Cyrl-BA"/>
              </w:rPr>
              <w:t xml:space="preserve">зликује од ИПА 2014-2020 (ИПА </w:t>
            </w:r>
            <w:r>
              <w:rPr>
                <w:rFonts w:ascii="Cambria" w:hAnsi="Cambria"/>
                <w:sz w:val="20"/>
                <w:szCs w:val="20"/>
                <w:lang w:val="hr-BA"/>
              </w:rPr>
              <w:t>II</w:t>
            </w:r>
            <w:r>
              <w:rPr>
                <w:rFonts w:ascii="Cambria" w:hAnsi="Cambria"/>
                <w:sz w:val="20"/>
                <w:szCs w:val="20"/>
                <w:lang w:val="sr-Cyrl-BA"/>
              </w:rPr>
              <w:t xml:space="preserve">). ИПА </w:t>
            </w:r>
            <w:r>
              <w:rPr>
                <w:rFonts w:ascii="Cambria" w:hAnsi="Cambria"/>
                <w:sz w:val="20"/>
                <w:szCs w:val="20"/>
                <w:lang w:val="hr-BA"/>
              </w:rPr>
              <w:t>III</w:t>
            </w:r>
            <w:r w:rsidRPr="00D51E5B">
              <w:rPr>
                <w:rFonts w:ascii="Cambria" w:hAnsi="Cambria"/>
                <w:sz w:val="20"/>
                <w:szCs w:val="20"/>
                <w:lang w:val="sr-Cyrl-BA"/>
              </w:rPr>
              <w:t xml:space="preserve"> наставља планирање и програмирање пројеката на основу стратешког и секторског приступа. За разлику од претходног инс</w:t>
            </w:r>
            <w:r>
              <w:rPr>
                <w:rFonts w:ascii="Cambria" w:hAnsi="Cambria"/>
                <w:sz w:val="20"/>
                <w:szCs w:val="20"/>
                <w:lang w:val="sr-Cyrl-BA"/>
              </w:rPr>
              <w:t xml:space="preserve">трумента, ИПА </w:t>
            </w:r>
            <w:r>
              <w:rPr>
                <w:rFonts w:ascii="Cambria" w:hAnsi="Cambria"/>
                <w:sz w:val="20"/>
                <w:szCs w:val="20"/>
                <w:lang w:val="hr-BA"/>
              </w:rPr>
              <w:t>III</w:t>
            </w:r>
            <w:r w:rsidRPr="00D51E5B">
              <w:rPr>
                <w:rFonts w:ascii="Cambria" w:hAnsi="Cambria"/>
                <w:sz w:val="20"/>
                <w:szCs w:val="20"/>
                <w:lang w:val="sr-Cyrl-BA"/>
              </w:rPr>
              <w:t xml:space="preserve"> не предвиђа припрему секторских планских докумената за сваки сектор, већ предвиђа припрему једног стратешког планског документа који ће обухватити све кључне приоритете и акције/пројекте у периоду од 2021. до 2027. године.</w:t>
            </w:r>
          </w:p>
        </w:tc>
      </w:tr>
      <w:tr w:rsidR="00EB759F" w:rsidRPr="002342D9" w14:paraId="1B158D5E" w14:textId="77777777" w:rsidTr="006F1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5FC5E8C8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46802B94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3E14AE53" w14:textId="77777777" w:rsidR="005A230A" w:rsidRPr="002342D9" w:rsidRDefault="00885AB6" w:rsidP="00D51E5B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Циљеви о</w:t>
            </w:r>
            <w:r w:rsidR="005A230A"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буке</w:t>
            </w:r>
          </w:p>
          <w:p w14:paraId="3A706CA9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06056651" w14:textId="77777777" w:rsidR="00DE380C" w:rsidRDefault="00D51E5B" w:rsidP="00DE380C">
            <w:pPr>
              <w:pStyle w:val="Paragrafspisk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Упознати полазнике са разл</w:t>
            </w:r>
            <w:r w:rsid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икама између инструмента  ИПА </w:t>
            </w:r>
            <w:r w:rsidR="00DE380C">
              <w:rPr>
                <w:rFonts w:ascii="Cambria" w:eastAsia="Arial Unicode MS" w:hAnsi="Cambria"/>
                <w:sz w:val="20"/>
                <w:szCs w:val="20"/>
                <w:lang w:val="hr-BA"/>
              </w:rPr>
              <w:t>II</w:t>
            </w:r>
            <w:r w:rsid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и ИПА III</w:t>
            </w:r>
            <w:r w:rsidRP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>.</w:t>
            </w:r>
          </w:p>
          <w:p w14:paraId="1832D984" w14:textId="4947DCD8" w:rsidR="00DE380C" w:rsidRDefault="00D51E5B" w:rsidP="00DE380C">
            <w:pPr>
              <w:pStyle w:val="Paragrafspisk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Упознат</w:t>
            </w:r>
            <w:r w:rsid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>и полазнике са концептом ИПА III</w:t>
            </w:r>
            <w:r w:rsidRP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у планирању и програмирању помоћи, укључујући главне елементе, правни и стратешки оквир те основне пројектне документе.</w:t>
            </w:r>
          </w:p>
          <w:p w14:paraId="71CF573F" w14:textId="3B63933C" w:rsidR="00DE380C" w:rsidRDefault="00D51E5B" w:rsidP="00DE380C">
            <w:pPr>
              <w:pStyle w:val="Paragrafspisk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Упознати полазнике с окви</w:t>
            </w:r>
            <w:r w:rsid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>ром у којем се реализ</w:t>
            </w:r>
            <w:r w:rsidR="007879B2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ује</w:t>
            </w:r>
            <w:r w:rsid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ИПА III</w:t>
            </w:r>
            <w:r w:rsidRP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те фазама и документима који прате о</w:t>
            </w:r>
            <w:r w:rsid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вај </w:t>
            </w:r>
            <w:r w:rsidRP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>инструмент.</w:t>
            </w:r>
          </w:p>
          <w:p w14:paraId="3A52F1DD" w14:textId="1FAD421E" w:rsidR="00EB759F" w:rsidRPr="00DE380C" w:rsidRDefault="007879B2" w:rsidP="00DE380C">
            <w:pPr>
              <w:pStyle w:val="Paragrafspisk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6C5B7F">
              <w:rPr>
                <w:rFonts w:ascii="Cambria" w:eastAsia="Arial Unicode MS" w:hAnsi="Cambria"/>
                <w:noProof/>
                <w:sz w:val="20"/>
                <w:szCs w:val="20"/>
                <w:lang w:val="hr-BA" w:eastAsia="bs-Latn-BA"/>
              </w:rPr>
              <w:t>Кроз рад на практичним примјерима полазницима</w:t>
            </w:r>
            <w:r>
              <w:rPr>
                <w:rFonts w:ascii="Cambria" w:eastAsia="Arial Unicode MS" w:hAnsi="Cambria"/>
                <w:noProof/>
                <w:sz w:val="20"/>
                <w:szCs w:val="20"/>
                <w:lang w:val="sr-Cyrl-RS" w:eastAsia="bs-Latn-BA"/>
              </w:rPr>
              <w:t xml:space="preserve"> п</w:t>
            </w:r>
            <w:r w:rsidR="00D51E5B" w:rsidRP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>ренијети знања о изради стратешког одговора (СР), акционих докумената</w:t>
            </w:r>
            <w:r w:rsid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(АД) и идејних приједлога (АФ)</w:t>
            </w:r>
            <w:r w:rsidR="00D51E5B" w:rsidRP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>.</w:t>
            </w:r>
          </w:p>
        </w:tc>
      </w:tr>
      <w:tr w:rsidR="00EB759F" w:rsidRPr="002342D9" w14:paraId="59A1995C" w14:textId="77777777" w:rsidTr="006F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24DD2013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522432F9" w14:textId="77777777" w:rsidR="00EB759F" w:rsidRPr="002342D9" w:rsidRDefault="005A230A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Циљна група полазника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51C44B87" w14:textId="77777777" w:rsidR="00F536C6" w:rsidRDefault="001F0D6E" w:rsidP="001F0D6E">
            <w:pPr>
              <w:pStyle w:val="Paragrafspisk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sz w:val="20"/>
                <w:szCs w:val="20"/>
                <w:lang w:val="sr-Cyrl-BA"/>
              </w:rPr>
              <w:t>Чланови тијела у систему координације процеса европских интеграција и осталих структура успостављених за потребе процеса европских интеграција и државни службеници који обављају послове</w:t>
            </w:r>
            <w:r w:rsidR="00F536C6">
              <w:rPr>
                <w:rFonts w:ascii="Cambria" w:hAnsi="Cambria"/>
                <w:sz w:val="20"/>
                <w:szCs w:val="20"/>
                <w:lang w:val="hr-BA"/>
              </w:rPr>
              <w:t>:</w:t>
            </w:r>
            <w:r w:rsidRPr="002342D9">
              <w:rPr>
                <w:rFonts w:ascii="Cambria" w:hAnsi="Cambria"/>
                <w:sz w:val="20"/>
                <w:szCs w:val="20"/>
                <w:lang w:val="sr-Cyrl-BA"/>
              </w:rPr>
              <w:t xml:space="preserve"> </w:t>
            </w:r>
          </w:p>
          <w:p w14:paraId="72926869" w14:textId="77777777" w:rsidR="001F0D6E" w:rsidRPr="00DE380C" w:rsidRDefault="00DE380C" w:rsidP="00DE380C">
            <w:pPr>
              <w:pStyle w:val="Paragrafspiska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DE380C">
              <w:rPr>
                <w:rFonts w:ascii="Cambria" w:hAnsi="Cambria"/>
                <w:sz w:val="20"/>
                <w:szCs w:val="20"/>
                <w:lang w:val="sr-Cyrl-BA"/>
              </w:rPr>
              <w:t>стратешког планирања, програмирања, мониторинга и евалуације помоћи ЕУ.</w:t>
            </w:r>
          </w:p>
          <w:p w14:paraId="75BC7356" w14:textId="77777777" w:rsidR="00EB759F" w:rsidRPr="002342D9" w:rsidRDefault="001F0D6E" w:rsidP="00DE380C">
            <w:pPr>
              <w:pStyle w:val="Paragrafspisk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sz w:val="20"/>
                <w:szCs w:val="20"/>
                <w:lang w:val="sr-Cyrl-BA"/>
              </w:rPr>
              <w:lastRenderedPageBreak/>
              <w:t>Научни и стручни радници, студенти додипломских, постдипломских и докторских студија у области европских интеграција, новинари, представници невладиних организација, запослени у јавним предузећима и незапослени</w:t>
            </w:r>
          </w:p>
        </w:tc>
      </w:tr>
      <w:tr w:rsidR="005A230A" w:rsidRPr="002342D9" w14:paraId="563E6D11" w14:textId="77777777" w:rsidTr="006F1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278546A6" w14:textId="77777777" w:rsidR="005A230A" w:rsidRPr="002342D9" w:rsidRDefault="005A230A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3EF41B2E" w14:textId="77777777" w:rsidR="005A230A" w:rsidRPr="002342D9" w:rsidRDefault="005A230A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Исходи учења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35C39B7D" w14:textId="77777777" w:rsidR="00DE380C" w:rsidRPr="00DE380C" w:rsidRDefault="00DE380C" w:rsidP="00DE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Полазници су упознати с промјенама </w:t>
            </w:r>
            <w:r>
              <w:rPr>
                <w:rFonts w:ascii="Cambria" w:eastAsia="Arial Unicode MS" w:hAnsi="Cambria"/>
                <w:sz w:val="20"/>
                <w:szCs w:val="20"/>
                <w:lang w:val="sr-Cyrl-BA"/>
              </w:rPr>
              <w:t>у приступу који доноси ИПА III</w:t>
            </w:r>
            <w:r w:rsidRP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. </w:t>
            </w:r>
          </w:p>
          <w:p w14:paraId="2C30D3D7" w14:textId="77777777" w:rsidR="00DE380C" w:rsidRPr="00DE380C" w:rsidRDefault="00DE380C" w:rsidP="00DE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>•</w:t>
            </w:r>
            <w:r w:rsidRP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ab/>
              <w:t>Полазници разумију концепт, присту</w:t>
            </w:r>
            <w:r>
              <w:rPr>
                <w:rFonts w:ascii="Cambria" w:eastAsia="Arial Unicode MS" w:hAnsi="Cambria"/>
                <w:sz w:val="20"/>
                <w:szCs w:val="20"/>
                <w:lang w:val="sr-Cyrl-BA"/>
              </w:rPr>
              <w:t>п и правила програмирања ИПА III</w:t>
            </w:r>
            <w:r w:rsidRP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. </w:t>
            </w:r>
          </w:p>
          <w:p w14:paraId="683BB93E" w14:textId="77777777" w:rsidR="005A230A" w:rsidRPr="00DE380C" w:rsidRDefault="00DE380C" w:rsidP="00DE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>•</w:t>
            </w:r>
            <w:r w:rsidRP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ab/>
              <w:t>Полазници су оспособ</w:t>
            </w:r>
            <w:r w:rsidR="00633468">
              <w:rPr>
                <w:rFonts w:ascii="Cambria" w:eastAsia="Arial Unicode MS" w:hAnsi="Cambria"/>
                <w:sz w:val="20"/>
                <w:szCs w:val="20"/>
                <w:lang w:val="sr-Cyrl-BA"/>
              </w:rPr>
              <w:t>љени за учешће у процесу израде</w:t>
            </w:r>
            <w:r w:rsidRPr="00DE380C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АФ-ова и АД-ова.</w:t>
            </w:r>
          </w:p>
        </w:tc>
      </w:tr>
      <w:tr w:rsidR="005A230A" w:rsidRPr="002342D9" w14:paraId="20428965" w14:textId="77777777" w:rsidTr="006F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33EB1472" w14:textId="77777777" w:rsidR="005A230A" w:rsidRPr="002342D9" w:rsidRDefault="005A230A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5C7C2923" w14:textId="77777777" w:rsidR="005A230A" w:rsidRPr="002342D9" w:rsidRDefault="005A230A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Методе изв</w:t>
            </w:r>
            <w:r w:rsidR="006476B3"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ође</w:t>
            </w:r>
            <w:r w:rsidR="00E013FF"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ња</w:t>
            </w:r>
            <w:r w:rsidR="00885AB6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 xml:space="preserve"> о</w:t>
            </w: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буке</w:t>
            </w:r>
          </w:p>
          <w:p w14:paraId="224307BF" w14:textId="77777777" w:rsidR="005A230A" w:rsidRPr="002342D9" w:rsidRDefault="005A230A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008CF0AC" w14:textId="77777777" w:rsidR="00DE380C" w:rsidRPr="00DE380C" w:rsidRDefault="00DE380C" w:rsidP="00DE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DE380C">
              <w:rPr>
                <w:rFonts w:ascii="Cambria" w:hAnsi="Cambria"/>
                <w:sz w:val="20"/>
                <w:szCs w:val="20"/>
                <w:lang w:val="sr-Cyrl-BA"/>
              </w:rPr>
              <w:t>Обука се може држати као</w:t>
            </w:r>
            <w:r w:rsidR="00633468">
              <w:rPr>
                <w:rFonts w:ascii="Cambria" w:hAnsi="Cambria"/>
                <w:sz w:val="20"/>
                <w:szCs w:val="20"/>
                <w:lang w:val="sr-Cyrl-BA"/>
              </w:rPr>
              <w:t xml:space="preserve"> класична обука у учионици или в</w:t>
            </w:r>
            <w:r w:rsidRPr="00DE380C">
              <w:rPr>
                <w:rFonts w:ascii="Cambria" w:hAnsi="Cambria"/>
                <w:sz w:val="20"/>
                <w:szCs w:val="20"/>
                <w:lang w:val="sr-Cyrl-BA"/>
              </w:rPr>
              <w:t>ебинар.</w:t>
            </w:r>
          </w:p>
          <w:p w14:paraId="39F9B87F" w14:textId="77777777" w:rsidR="00DE380C" w:rsidRPr="00DE380C" w:rsidRDefault="00DE380C" w:rsidP="00DE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  <w:p w14:paraId="3C27BAF4" w14:textId="09578DD8" w:rsidR="00DE380C" w:rsidRDefault="00DE380C" w:rsidP="00DE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DE380C">
              <w:rPr>
                <w:rFonts w:ascii="Cambria" w:hAnsi="Cambria"/>
                <w:sz w:val="20"/>
                <w:szCs w:val="20"/>
                <w:lang w:val="sr-Cyrl-BA"/>
              </w:rPr>
              <w:t>Теор</w:t>
            </w:r>
            <w:r w:rsidR="007879B2">
              <w:rPr>
                <w:rFonts w:ascii="Cambria" w:hAnsi="Cambria"/>
                <w:sz w:val="20"/>
                <w:szCs w:val="20"/>
                <w:lang w:val="sr-Cyrl-BA"/>
              </w:rPr>
              <w:t>етски</w:t>
            </w:r>
            <w:r w:rsidRPr="00DE380C">
              <w:rPr>
                <w:rFonts w:ascii="Cambria" w:hAnsi="Cambria"/>
                <w:sz w:val="20"/>
                <w:szCs w:val="20"/>
                <w:lang w:val="sr-Cyrl-BA"/>
              </w:rPr>
              <w:t xml:space="preserve"> дио (презентације) и практични дио (вјежбе).</w:t>
            </w:r>
          </w:p>
          <w:p w14:paraId="3B521B15" w14:textId="45ABA164" w:rsidR="007879B2" w:rsidRDefault="007879B2" w:rsidP="00BB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Први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дан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обуке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(8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академских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часова</w:t>
            </w:r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)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је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теор</w:t>
            </w:r>
            <w:proofErr w:type="spellEnd"/>
            <w:r>
              <w:rPr>
                <w:rFonts w:ascii="Cambria" w:hAnsi="Cambria"/>
                <w:sz w:val="20"/>
                <w:szCs w:val="20"/>
                <w:lang w:val="sr-Cyrl-RS"/>
              </w:rPr>
              <w:t>етски</w:t>
            </w:r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, а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други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дан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обуке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(8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академских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часова</w:t>
            </w:r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)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је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практични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рад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>.</w:t>
            </w:r>
          </w:p>
          <w:p w14:paraId="7EE94DF0" w14:textId="57E5C16E" w:rsidR="007879B2" w:rsidRPr="00DE380C" w:rsidRDefault="007879B2" w:rsidP="00DE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Практични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дио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састоји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се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од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рада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на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конкретним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примјерима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s-ES"/>
              </w:rPr>
              <w:t>израде</w:t>
            </w:r>
            <w:proofErr w:type="spellEnd"/>
            <w:r>
              <w:rPr>
                <w:rFonts w:ascii="Cambria" w:hAnsi="Cambria"/>
                <w:sz w:val="20"/>
                <w:szCs w:val="20"/>
                <w:lang w:val="es-ES"/>
              </w:rPr>
              <w:t xml:space="preserve"> СР-а, АФ-а и АД-а.</w:t>
            </w:r>
          </w:p>
          <w:p w14:paraId="5B3BE746" w14:textId="77777777" w:rsidR="00DE380C" w:rsidRPr="00DE380C" w:rsidRDefault="00DE380C" w:rsidP="00DE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  <w:p w14:paraId="242450F5" w14:textId="2F1DAF6B" w:rsidR="005A230A" w:rsidRPr="002342D9" w:rsidRDefault="00633468" w:rsidP="00DE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sz w:val="20"/>
                <w:szCs w:val="20"/>
                <w:lang w:val="sr-Cyrl-BA"/>
              </w:rPr>
              <w:t>Уколико се обука држи у форми в</w:t>
            </w:r>
            <w:r w:rsidR="00DE380C" w:rsidRPr="00DE380C">
              <w:rPr>
                <w:rFonts w:ascii="Cambria" w:hAnsi="Cambria"/>
                <w:sz w:val="20"/>
                <w:szCs w:val="20"/>
                <w:lang w:val="sr-Cyrl-BA"/>
              </w:rPr>
              <w:t xml:space="preserve">ебинара, скраћење њеног трајања треба бити </w:t>
            </w:r>
            <w:r w:rsidR="007879B2">
              <w:rPr>
                <w:rFonts w:ascii="Cambria" w:hAnsi="Cambria"/>
                <w:sz w:val="20"/>
                <w:szCs w:val="20"/>
                <w:lang w:val="sr-Cyrl-BA"/>
              </w:rPr>
              <w:t>с</w:t>
            </w:r>
            <w:r w:rsidR="00DE380C" w:rsidRPr="00DE380C">
              <w:rPr>
                <w:rFonts w:ascii="Cambria" w:hAnsi="Cambria"/>
                <w:sz w:val="20"/>
                <w:szCs w:val="20"/>
                <w:lang w:val="sr-Cyrl-BA"/>
              </w:rPr>
              <w:t xml:space="preserve">проведено на начин да се </w:t>
            </w:r>
            <w:r w:rsidR="007879B2">
              <w:rPr>
                <w:rFonts w:ascii="Cambria" w:hAnsi="Cambria"/>
                <w:sz w:val="20"/>
                <w:szCs w:val="20"/>
                <w:lang w:val="sr-Cyrl-BA"/>
              </w:rPr>
              <w:t xml:space="preserve">обезбиједи </w:t>
            </w:r>
            <w:r w:rsidR="00DE380C" w:rsidRPr="00DE380C">
              <w:rPr>
                <w:rFonts w:ascii="Cambria" w:hAnsi="Cambria"/>
                <w:sz w:val="20"/>
                <w:szCs w:val="20"/>
                <w:lang w:val="sr-Cyrl-BA"/>
              </w:rPr>
              <w:t>пропорционално покривање цјелокупног садржаја.</w:t>
            </w:r>
          </w:p>
        </w:tc>
      </w:tr>
    </w:tbl>
    <w:p w14:paraId="339D989F" w14:textId="77777777" w:rsidR="00761B97" w:rsidRPr="002342D9" w:rsidRDefault="00761B97">
      <w:pPr>
        <w:rPr>
          <w:lang w:val="sr-Cyrl-BA"/>
        </w:rPr>
      </w:pPr>
    </w:p>
    <w:sectPr w:rsidR="00761B97" w:rsidRPr="002342D9" w:rsidSect="008C1A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F6F"/>
    <w:multiLevelType w:val="hybridMultilevel"/>
    <w:tmpl w:val="75247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F5285"/>
    <w:multiLevelType w:val="hybridMultilevel"/>
    <w:tmpl w:val="D8EA44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5941A7"/>
    <w:multiLevelType w:val="hybridMultilevel"/>
    <w:tmpl w:val="B58EA106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81C5D"/>
    <w:multiLevelType w:val="hybridMultilevel"/>
    <w:tmpl w:val="AE767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57211F"/>
    <w:multiLevelType w:val="hybridMultilevel"/>
    <w:tmpl w:val="5A02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A5B37"/>
    <w:multiLevelType w:val="hybridMultilevel"/>
    <w:tmpl w:val="2654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23903"/>
    <w:multiLevelType w:val="hybridMultilevel"/>
    <w:tmpl w:val="840EB25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669B0"/>
    <w:multiLevelType w:val="hybridMultilevel"/>
    <w:tmpl w:val="8CE25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0A253B"/>
    <w:multiLevelType w:val="hybridMultilevel"/>
    <w:tmpl w:val="F25E9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15E57"/>
    <w:multiLevelType w:val="hybridMultilevel"/>
    <w:tmpl w:val="D10C6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3B35E4"/>
    <w:multiLevelType w:val="hybridMultilevel"/>
    <w:tmpl w:val="B704C8A8"/>
    <w:lvl w:ilvl="0" w:tplc="09F8E1F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F2F29"/>
    <w:multiLevelType w:val="hybridMultilevel"/>
    <w:tmpl w:val="2E9452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012185"/>
    <w:multiLevelType w:val="hybridMultilevel"/>
    <w:tmpl w:val="47808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7808937">
    <w:abstractNumId w:val="6"/>
  </w:num>
  <w:num w:numId="2" w16cid:durableId="1515000210">
    <w:abstractNumId w:val="2"/>
  </w:num>
  <w:num w:numId="3" w16cid:durableId="2032338315">
    <w:abstractNumId w:val="0"/>
  </w:num>
  <w:num w:numId="4" w16cid:durableId="378479841">
    <w:abstractNumId w:val="12"/>
  </w:num>
  <w:num w:numId="5" w16cid:durableId="1125730650">
    <w:abstractNumId w:val="7"/>
  </w:num>
  <w:num w:numId="6" w16cid:durableId="1611820127">
    <w:abstractNumId w:val="3"/>
  </w:num>
  <w:num w:numId="7" w16cid:durableId="933199534">
    <w:abstractNumId w:val="1"/>
  </w:num>
  <w:num w:numId="8" w16cid:durableId="1674993045">
    <w:abstractNumId w:val="8"/>
  </w:num>
  <w:num w:numId="9" w16cid:durableId="1445419872">
    <w:abstractNumId w:val="10"/>
  </w:num>
  <w:num w:numId="10" w16cid:durableId="558051609">
    <w:abstractNumId w:val="11"/>
  </w:num>
  <w:num w:numId="11" w16cid:durableId="2076271798">
    <w:abstractNumId w:val="5"/>
  </w:num>
  <w:num w:numId="12" w16cid:durableId="668945370">
    <w:abstractNumId w:val="9"/>
  </w:num>
  <w:num w:numId="13" w16cid:durableId="722868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9F"/>
    <w:rsid w:val="000936DE"/>
    <w:rsid w:val="000C3C03"/>
    <w:rsid w:val="000F5DDD"/>
    <w:rsid w:val="00156993"/>
    <w:rsid w:val="0019782D"/>
    <w:rsid w:val="001F0D6E"/>
    <w:rsid w:val="002342D9"/>
    <w:rsid w:val="00241A88"/>
    <w:rsid w:val="003C41B5"/>
    <w:rsid w:val="004076F8"/>
    <w:rsid w:val="00466C9C"/>
    <w:rsid w:val="004A1B53"/>
    <w:rsid w:val="005A230A"/>
    <w:rsid w:val="00615F77"/>
    <w:rsid w:val="00633468"/>
    <w:rsid w:val="006476B3"/>
    <w:rsid w:val="00652EFF"/>
    <w:rsid w:val="00696542"/>
    <w:rsid w:val="006C1879"/>
    <w:rsid w:val="006F17F6"/>
    <w:rsid w:val="00761B97"/>
    <w:rsid w:val="007879B2"/>
    <w:rsid w:val="007D7022"/>
    <w:rsid w:val="007F2AC1"/>
    <w:rsid w:val="00885AB6"/>
    <w:rsid w:val="008B4C58"/>
    <w:rsid w:val="008F5667"/>
    <w:rsid w:val="00A10796"/>
    <w:rsid w:val="00B61B74"/>
    <w:rsid w:val="00BB69B4"/>
    <w:rsid w:val="00BC0292"/>
    <w:rsid w:val="00C270A5"/>
    <w:rsid w:val="00C6313E"/>
    <w:rsid w:val="00CA7561"/>
    <w:rsid w:val="00D2506B"/>
    <w:rsid w:val="00D46A5C"/>
    <w:rsid w:val="00D51E5B"/>
    <w:rsid w:val="00DB5CA7"/>
    <w:rsid w:val="00DC765D"/>
    <w:rsid w:val="00DE380C"/>
    <w:rsid w:val="00E013FF"/>
    <w:rsid w:val="00E64087"/>
    <w:rsid w:val="00EB759F"/>
    <w:rsid w:val="00F0463A"/>
    <w:rsid w:val="00F536C6"/>
    <w:rsid w:val="00F84338"/>
    <w:rsid w:val="00F9652D"/>
    <w:rsid w:val="00FB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105B"/>
  <w15:chartTrackingRefBased/>
  <w15:docId w15:val="{3AE6ABE1-0FBF-43B4-A06F-07949DE3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EB759F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Tamnatabelareetke5-isticanje1">
    <w:name w:val="Grid Table 5 Dark Accent 1"/>
    <w:basedOn w:val="Normalnatabela"/>
    <w:uiPriority w:val="50"/>
    <w:rsid w:val="00EB75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aragrafspiska">
    <w:name w:val="List Paragraph"/>
    <w:basedOn w:val="Normalno"/>
    <w:uiPriority w:val="34"/>
    <w:qFormat/>
    <w:rsid w:val="00EB7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284D-5A38-4426-8E3B-5B87DE1A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4</cp:revision>
  <cp:lastPrinted>2021-01-18T11:26:00Z</cp:lastPrinted>
  <dcterms:created xsi:type="dcterms:W3CDTF">2024-01-25T13:57:00Z</dcterms:created>
  <dcterms:modified xsi:type="dcterms:W3CDTF">2024-01-25T14:08:00Z</dcterms:modified>
</cp:coreProperties>
</file>