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093A" w14:textId="77777777" w:rsidR="008A687D" w:rsidRPr="00172537" w:rsidRDefault="008A687D">
      <w:pPr>
        <w:spacing w:after="0"/>
        <w:ind w:left="-1440" w:right="2"/>
        <w:rPr>
          <w:lang w:val="sr-Cyrl-RS"/>
        </w:rPr>
      </w:pPr>
    </w:p>
    <w:tbl>
      <w:tblPr>
        <w:tblStyle w:val="TableGrid"/>
        <w:tblW w:w="12948" w:type="dxa"/>
        <w:tblInd w:w="10" w:type="dxa"/>
        <w:tblCellMar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247"/>
        <w:gridCol w:w="10701"/>
      </w:tblGrid>
      <w:tr w:rsidR="008A687D" w14:paraId="0A8237E9" w14:textId="77777777">
        <w:trPr>
          <w:trHeight w:val="334"/>
        </w:trPr>
        <w:tc>
          <w:tcPr>
            <w:tcW w:w="12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909DD78" w14:textId="77777777" w:rsidR="008A687D" w:rsidRDefault="00000000">
            <w:pPr>
              <w:tabs>
                <w:tab w:val="center" w:pos="1018"/>
                <w:tab w:val="center" w:pos="7486"/>
              </w:tabs>
            </w:pPr>
            <w:r>
              <w:tab/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vertAlign w:val="superscript"/>
              </w:rPr>
              <w:t>Назив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vertAlign w:val="superscript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vertAlign w:val="superscript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vertAlign w:val="superscript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8"/>
                <w:vertAlign w:val="superscript"/>
              </w:rPr>
              <w:tab/>
            </w:r>
            <w:r>
              <w:rPr>
                <w:rFonts w:ascii="Cambria" w:eastAsia="Cambria" w:hAnsi="Cambria" w:cs="Cambria"/>
                <w:b/>
                <w:sz w:val="28"/>
              </w:rPr>
              <w:t xml:space="preserve">л) ПРОГРАМИ ТЕРИТОРИЈАЛНЕ САРАДЊЕ </w:t>
            </w:r>
          </w:p>
        </w:tc>
      </w:tr>
      <w:tr w:rsidR="008A687D" w14:paraId="040B017C" w14:textId="77777777">
        <w:trPr>
          <w:trHeight w:val="3762"/>
        </w:trPr>
        <w:tc>
          <w:tcPr>
            <w:tcW w:w="224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40A7AE1A" w14:textId="77777777" w:rsidR="008A687D" w:rsidRDefault="00000000">
            <w:pPr>
              <w:ind w:right="38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Садржај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BCEE7B8" w14:textId="0CC1EE2D" w:rsidR="008A687D" w:rsidRDefault="00000000">
            <w:pPr>
              <w:numPr>
                <w:ilvl w:val="0"/>
                <w:numId w:val="1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Kратки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историјат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(</w:t>
            </w:r>
            <w:r w:rsidR="00172537" w:rsidRPr="00172537">
              <w:rPr>
                <w:rFonts w:ascii="Cambria" w:eastAsia="Cambria" w:hAnsi="Cambria" w:cs="Cambria"/>
                <w:b/>
                <w:i/>
                <w:iCs/>
                <w:sz w:val="20"/>
              </w:rPr>
              <w:t>ETC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) </w:t>
            </w:r>
          </w:p>
          <w:p w14:paraId="4B9C7A99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настанак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сврха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врсте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4D182A0E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веза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кохезионом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политиком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Европским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фондом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регионални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развој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33123932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доступност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државама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изван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 </w:t>
            </w:r>
          </w:p>
          <w:p w14:paraId="5D291265" w14:textId="77777777" w:rsidR="008A687D" w:rsidRDefault="00000000">
            <w:pPr>
              <w:numPr>
                <w:ilvl w:val="0"/>
                <w:numId w:val="1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Програми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транснационалне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14:paraId="0BB3A7BA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сврха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карактеристике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примјери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сличности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разлике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међу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њима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063647CA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основна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правила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управљање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 </w:t>
            </w:r>
          </w:p>
          <w:p w14:paraId="6B6CD337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примјери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ефеката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транснационалних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48EFE615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искуства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учешћу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транснационалне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365A8C45" w14:textId="17F70995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капацитети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потребни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с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провођење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4AC40856" w14:textId="2E47EED8" w:rsidR="008A687D" w:rsidRDefault="00000000">
            <w:pPr>
              <w:numPr>
                <w:ilvl w:val="0"/>
                <w:numId w:val="1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Програми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прекограничне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(</w:t>
            </w:r>
            <w:r w:rsidR="00172537" w:rsidRPr="00172537">
              <w:rPr>
                <w:rFonts w:ascii="Cambria" w:eastAsia="Cambria" w:hAnsi="Cambria" w:cs="Cambria"/>
                <w:b/>
                <w:i/>
                <w:iCs/>
                <w:sz w:val="20"/>
              </w:rPr>
              <w:t>CBC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) </w:t>
            </w:r>
          </w:p>
          <w:p w14:paraId="5D8099D7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сврха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карактеристике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примјери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сличности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разлике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међу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њима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299ABBB4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основна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правила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управљање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301F9FC4" w14:textId="41EC201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примјери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ефеката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172537" w:rsidRPr="00172537">
              <w:rPr>
                <w:rFonts w:ascii="Cambria" w:eastAsia="Cambria" w:hAnsi="Cambria" w:cs="Cambria"/>
                <w:i/>
                <w:iCs/>
                <w:sz w:val="20"/>
              </w:rPr>
              <w:t>CBC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4840DE98" w14:textId="77777777" w:rsidR="008A687D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искуства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учешћу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прекограничне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26B9BAB0" w14:textId="77777777" w:rsidR="008A687D" w:rsidRPr="00172537" w:rsidRDefault="00000000">
            <w:pPr>
              <w:numPr>
                <w:ilvl w:val="1"/>
                <w:numId w:val="1"/>
              </w:numPr>
              <w:ind w:hanging="427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капацитети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потребни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с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провођење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43545D01" w14:textId="77777777" w:rsidR="00172537" w:rsidRPr="00172537" w:rsidRDefault="00172537" w:rsidP="005F29E2">
            <w:pPr>
              <w:pStyle w:val="Paragrafspiska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172537">
              <w:rPr>
                <w:rFonts w:ascii="Cambria" w:hAnsi="Cambria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17253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b/>
                <w:bCs/>
                <w:sz w:val="20"/>
                <w:szCs w:val="20"/>
              </w:rPr>
              <w:t>међурегионалне</w:t>
            </w:r>
            <w:proofErr w:type="spellEnd"/>
            <w:r w:rsidRPr="0017253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b/>
                <w:bCs/>
                <w:sz w:val="20"/>
                <w:szCs w:val="20"/>
              </w:rPr>
              <w:t>сарадње</w:t>
            </w:r>
            <w:proofErr w:type="spellEnd"/>
          </w:p>
          <w:p w14:paraId="7A5D0C80" w14:textId="77777777" w:rsidR="00172537" w:rsidRPr="00172537" w:rsidRDefault="00172537" w:rsidP="005F29E2">
            <w:pPr>
              <w:pStyle w:val="Paragrafspiska"/>
              <w:numPr>
                <w:ilvl w:val="0"/>
                <w:numId w:val="9"/>
              </w:numPr>
              <w:jc w:val="both"/>
            </w:pP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сврха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карактеристике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примјери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програма</w:t>
            </w:r>
            <w:proofErr w:type="spellEnd"/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63101FF4" w14:textId="74F034A3" w:rsidR="00172537" w:rsidRDefault="00172537" w:rsidP="005F29E2">
            <w:pPr>
              <w:pStyle w:val="Paragrafspiska"/>
              <w:numPr>
                <w:ilvl w:val="0"/>
                <w:numId w:val="9"/>
              </w:numPr>
              <w:jc w:val="both"/>
            </w:pP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основна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правила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кориш</w:t>
            </w:r>
            <w:proofErr w:type="spellEnd"/>
            <w:r>
              <w:rPr>
                <w:rFonts w:ascii="Cambria" w:hAnsi="Cambria"/>
                <w:sz w:val="20"/>
                <w:szCs w:val="20"/>
                <w:lang w:val="sr-Cyrl-RS"/>
              </w:rPr>
              <w:t>ћ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ења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управљање</w:t>
            </w:r>
            <w:proofErr w:type="spellEnd"/>
            <w:r w:rsidRPr="0017253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72537">
              <w:rPr>
                <w:rFonts w:ascii="Cambria" w:hAnsi="Cambria"/>
                <w:sz w:val="20"/>
                <w:szCs w:val="20"/>
              </w:rPr>
              <w:t>програмима</w:t>
            </w:r>
            <w:proofErr w:type="spellEnd"/>
          </w:p>
          <w:p w14:paraId="7BA8567D" w14:textId="5FF13392" w:rsidR="00172537" w:rsidRDefault="00172537" w:rsidP="00172537">
            <w:pPr>
              <w:ind w:left="893"/>
            </w:pPr>
          </w:p>
        </w:tc>
      </w:tr>
      <w:tr w:rsidR="008A687D" w14:paraId="41C8C8CC" w14:textId="77777777">
        <w:trPr>
          <w:trHeight w:val="970"/>
        </w:trPr>
        <w:tc>
          <w:tcPr>
            <w:tcW w:w="224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3544A021" w14:textId="77777777" w:rsidR="008A687D" w:rsidRDefault="00000000">
            <w:pPr>
              <w:ind w:firstLine="4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Трајање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изражено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бројем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академских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часова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DE005F1" w14:textId="77777777" w:rsidR="00172537" w:rsidRPr="00172537" w:rsidRDefault="00000000" w:rsidP="00172537">
            <w:pPr>
              <w:pStyle w:val="Paragrafspiska"/>
              <w:numPr>
                <w:ilvl w:val="0"/>
                <w:numId w:val="10"/>
              </w:numPr>
            </w:pPr>
            <w:proofErr w:type="spellStart"/>
            <w:r w:rsidRPr="00172537">
              <w:rPr>
                <w:rFonts w:ascii="Cambria" w:eastAsia="Cambria" w:hAnsi="Cambria" w:cs="Cambria"/>
                <w:sz w:val="20"/>
              </w:rPr>
              <w:t>Класична</w:t>
            </w:r>
            <w:proofErr w:type="spellEnd"/>
            <w:r w:rsidRPr="00172537"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 w:rsidRPr="00172537">
              <w:rPr>
                <w:rFonts w:ascii="Cambria" w:eastAsia="Cambria" w:hAnsi="Cambria" w:cs="Cambria"/>
                <w:sz w:val="20"/>
              </w:rPr>
              <w:t>обука</w:t>
            </w:r>
            <w:proofErr w:type="spellEnd"/>
            <w:r w:rsidRPr="00172537"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 w:rsidRPr="00172537">
              <w:rPr>
                <w:rFonts w:ascii="Cambria" w:eastAsia="Cambria" w:hAnsi="Cambria" w:cs="Cambria"/>
                <w:sz w:val="20"/>
              </w:rPr>
              <w:t>учионици</w:t>
            </w:r>
            <w:proofErr w:type="spellEnd"/>
            <w:r w:rsidRPr="00172537">
              <w:rPr>
                <w:rFonts w:ascii="Cambria" w:eastAsia="Cambria" w:hAnsi="Cambria" w:cs="Cambria"/>
                <w:sz w:val="20"/>
              </w:rPr>
              <w:t xml:space="preserve">: </w:t>
            </w:r>
            <w:r w:rsidR="00172537" w:rsidRPr="00172537">
              <w:rPr>
                <w:rFonts w:ascii="Cambria" w:hAnsi="Cambria"/>
                <w:sz w:val="20"/>
                <w:szCs w:val="20"/>
                <w:lang w:val="hr-BA"/>
              </w:rPr>
              <w:t xml:space="preserve">16 академских </w:t>
            </w:r>
            <w:r w:rsidR="00172537"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  <w:r w:rsidR="00172537" w:rsidRPr="00172537">
              <w:rPr>
                <w:rFonts w:ascii="Cambria" w:hAnsi="Cambria"/>
                <w:sz w:val="20"/>
                <w:szCs w:val="20"/>
                <w:lang w:val="hr-BA"/>
              </w:rPr>
              <w:t>, то јест обука у трајању од 2 дана</w:t>
            </w:r>
            <w:r w:rsidR="00172537">
              <w:t xml:space="preserve"> </w:t>
            </w:r>
            <w:r w:rsidR="00172537" w:rsidRPr="00172537">
              <w:rPr>
                <w:rFonts w:ascii="Cambria" w:hAnsi="Cambria"/>
                <w:sz w:val="20"/>
                <w:szCs w:val="20"/>
                <w:lang w:val="hr-BA"/>
              </w:rPr>
              <w:t xml:space="preserve">по 8 академских </w:t>
            </w:r>
            <w:r w:rsidR="00172537"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</w:p>
          <w:p w14:paraId="627BC887" w14:textId="566C5088" w:rsidR="008A687D" w:rsidRDefault="00172537" w:rsidP="00172537">
            <w:pPr>
              <w:pStyle w:val="Paragrafspiska"/>
              <w:numPr>
                <w:ilvl w:val="0"/>
                <w:numId w:val="10"/>
              </w:numPr>
            </w:pPr>
            <w:proofErr w:type="spellStart"/>
            <w:r w:rsidRPr="00461F13">
              <w:rPr>
                <w:rFonts w:ascii="Cambria" w:hAnsi="Cambria"/>
                <w:sz w:val="20"/>
                <w:szCs w:val="20"/>
                <w:lang w:val="bs-Latn-BA"/>
              </w:rPr>
              <w:t>Wебинар</w:t>
            </w:r>
            <w:proofErr w:type="spellEnd"/>
            <w:r w:rsidRPr="00461F13">
              <w:rPr>
                <w:rFonts w:ascii="Cambria" w:hAnsi="Cambria"/>
                <w:sz w:val="20"/>
                <w:szCs w:val="20"/>
                <w:lang w:val="bs-Latn-BA"/>
              </w:rPr>
              <w:t xml:space="preserve">: 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10 академских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, то јест 2 дана по 5 академских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</w:p>
        </w:tc>
      </w:tr>
      <w:tr w:rsidR="008A687D" w14:paraId="4533624D" w14:textId="77777777">
        <w:trPr>
          <w:trHeight w:val="3529"/>
        </w:trPr>
        <w:tc>
          <w:tcPr>
            <w:tcW w:w="224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4ECC0736" w14:textId="77777777" w:rsidR="008A687D" w:rsidRDefault="00000000">
            <w:pPr>
              <w:ind w:lef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 xml:space="preserve"> </w:t>
            </w:r>
          </w:p>
          <w:p w14:paraId="043D78F0" w14:textId="77777777" w:rsidR="008A687D" w:rsidRDefault="00000000">
            <w:pPr>
              <w:ind w:lef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14:paraId="45554C41" w14:textId="77777777" w:rsidR="008A687D" w:rsidRDefault="00000000">
            <w:pPr>
              <w:ind w:lef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14:paraId="745B34E0" w14:textId="77777777" w:rsidR="008A687D" w:rsidRDefault="00000000">
            <w:pPr>
              <w:ind w:left="7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  <w:p w14:paraId="6A08585A" w14:textId="77777777" w:rsidR="008A687D" w:rsidRDefault="00000000">
            <w:pPr>
              <w:ind w:right="38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Опис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D3272F3" w14:textId="4B83FBFD" w:rsidR="008A687D" w:rsidRDefault="00000000">
            <w:pPr>
              <w:spacing w:line="237" w:lineRule="auto"/>
              <w:ind w:right="44"/>
              <w:jc w:val="both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инструмент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подржава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преко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граница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финансирањем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пројеката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Циљ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суочавање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заједничким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проблемима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проналажење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заједничких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рјешења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областима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што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здравство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предузетништво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иновације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саобраћај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одржива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енергија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животна средина,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туризам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итд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програмском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подручју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међудржавна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прекогранична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регионална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)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само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темељна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вриједност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већ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начин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изазове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чланица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али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аспираната</w:t>
            </w:r>
            <w:proofErr w:type="spellEnd"/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,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могуће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савладати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садејству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уз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финансијску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подршку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предвиђених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фондова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ЕУ.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контексту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практични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примјер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побољшања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свакодневице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неријетко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дотиче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обичног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човјека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релативно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кратком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периоду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прави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позитивну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разлику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опипљиви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мјерљиви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показатељ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интеграције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ЕУ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имају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снажну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мотивациону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димензију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7370B096" w14:textId="12DFDA92" w:rsidR="008A687D" w:rsidRDefault="00000000">
            <w:pPr>
              <w:ind w:right="44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С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обзиром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учешће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с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провођењу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њихово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представља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одличну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припрему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фондова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доступних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само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чланицама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што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к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охезиони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структурни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сл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од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изузетне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важности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капацитети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изван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што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боље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буду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упознати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с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обиљежјима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могућностима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Од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изузетног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значаја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државни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службеници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свим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нивоима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пролазе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овакве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усвајају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специфична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знања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нарочито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име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БиХ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учествују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структурама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програмирање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с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провођење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A687D" w14:paraId="4B6A1EF8" w14:textId="77777777">
        <w:trPr>
          <w:trHeight w:val="714"/>
        </w:trPr>
        <w:tc>
          <w:tcPr>
            <w:tcW w:w="224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5F4F0EE5" w14:textId="77777777" w:rsidR="008A687D" w:rsidRDefault="00000000">
            <w:pPr>
              <w:ind w:right="38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Циљеви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6FB48BF" w14:textId="77777777" w:rsidR="008A687D" w:rsidRDefault="00000000">
            <w:pPr>
              <w:numPr>
                <w:ilvl w:val="0"/>
                <w:numId w:val="3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Упознати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основном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терминологијом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2122B442" w14:textId="77777777" w:rsidR="008A687D" w:rsidRDefault="00000000">
            <w:pPr>
              <w:numPr>
                <w:ilvl w:val="0"/>
                <w:numId w:val="3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Пренијети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полазницима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информације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томе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како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инструменти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кохезионе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политике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терену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праве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разлику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</w:tc>
      </w:tr>
      <w:tr w:rsidR="008A687D" w14:paraId="2455094F" w14:textId="77777777">
        <w:trPr>
          <w:trHeight w:val="711"/>
        </w:trPr>
        <w:tc>
          <w:tcPr>
            <w:tcW w:w="224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4132E583" w14:textId="77777777" w:rsidR="008A687D" w:rsidRDefault="008A687D"/>
        </w:tc>
        <w:tc>
          <w:tcPr>
            <w:tcW w:w="10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89BAF20" w14:textId="30D0C9AA" w:rsidR="008A687D" w:rsidRDefault="00000000">
            <w:pPr>
              <w:numPr>
                <w:ilvl w:val="0"/>
                <w:numId w:val="4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Пренијети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полазницима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информације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управљању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r w:rsidR="00172537">
              <w:rPr>
                <w:rFonts w:ascii="Cambria" w:eastAsia="Cambria" w:hAnsi="Cambria" w:cs="Cambria"/>
                <w:sz w:val="20"/>
                <w:lang w:val="sr-Cyrl-RS"/>
              </w:rPr>
              <w:t>с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провођењу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679A44FA" w14:textId="77777777" w:rsidR="008A687D" w:rsidRDefault="00000000">
            <w:pPr>
              <w:numPr>
                <w:ilvl w:val="0"/>
                <w:numId w:val="4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Мотивисати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полазнике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јачање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институционалних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личних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капацитета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учешће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програмирању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спровођењу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коришћењу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>.</w:t>
            </w:r>
            <w:r>
              <w:t xml:space="preserve"> </w:t>
            </w:r>
          </w:p>
        </w:tc>
      </w:tr>
      <w:tr w:rsidR="008A687D" w14:paraId="3609A688" w14:textId="77777777">
        <w:trPr>
          <w:trHeight w:val="1738"/>
        </w:trPr>
        <w:tc>
          <w:tcPr>
            <w:tcW w:w="224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2F2F2"/>
          </w:tcPr>
          <w:p w14:paraId="6D52D10C" w14:textId="77777777" w:rsidR="008A687D" w:rsidRDefault="00000000">
            <w:pPr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Циљна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група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полазника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 w14:paraId="1D2A9FCA" w14:textId="77777777" w:rsidR="008A687D" w:rsidRDefault="00000000">
            <w:pPr>
              <w:numPr>
                <w:ilvl w:val="0"/>
                <w:numId w:val="5"/>
              </w:numPr>
              <w:spacing w:after="6" w:line="256" w:lineRule="auto"/>
              <w:ind w:hanging="360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Чланови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тијела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систему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координације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процеса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европских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интеграција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осталих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структура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успостављених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потребе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процеса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европских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интеграција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државни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службеници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који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обављају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послове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: </w:t>
            </w:r>
          </w:p>
          <w:p w14:paraId="0740C78D" w14:textId="77777777" w:rsidR="008A687D" w:rsidRDefault="00000000">
            <w:pPr>
              <w:tabs>
                <w:tab w:val="center" w:pos="394"/>
                <w:tab w:val="center" w:pos="4282"/>
              </w:tabs>
              <w:spacing w:after="27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стратешког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планирања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програмирања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мониторинга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евалуације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помоћи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ЕУ. </w:t>
            </w:r>
          </w:p>
          <w:p w14:paraId="5B34246B" w14:textId="77777777" w:rsidR="008A687D" w:rsidRDefault="00000000">
            <w:pPr>
              <w:numPr>
                <w:ilvl w:val="0"/>
                <w:numId w:val="5"/>
              </w:numPr>
              <w:ind w:hanging="360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Учесници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међудржавним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међуинституционалним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тијелима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програмирање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спровођење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програмā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7A65FF8C" w14:textId="77777777" w:rsidR="008A687D" w:rsidRDefault="00000000">
            <w:pPr>
              <w:numPr>
                <w:ilvl w:val="0"/>
                <w:numId w:val="5"/>
              </w:numPr>
              <w:ind w:hanging="360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Научни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стручни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радници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студенти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додипломских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постдипломских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докторских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студија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области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европских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интеграција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новинари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представници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невладиних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организација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запослени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јавним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предузећима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незапослени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</w:tc>
      </w:tr>
      <w:tr w:rsidR="008A687D" w14:paraId="685A923E" w14:textId="77777777">
        <w:trPr>
          <w:trHeight w:val="984"/>
        </w:trPr>
        <w:tc>
          <w:tcPr>
            <w:tcW w:w="224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2B466EDF" w14:textId="77777777" w:rsidR="008A687D" w:rsidRDefault="00000000">
            <w:pPr>
              <w:ind w:right="6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Исходи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учења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8183515" w14:textId="77777777" w:rsidR="008A687D" w:rsidRDefault="00000000">
            <w:pPr>
              <w:numPr>
                <w:ilvl w:val="0"/>
                <w:numId w:val="6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стекли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основна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знања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о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програмима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територијалне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сарадње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релевантној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терминологији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63B938D3" w14:textId="77777777" w:rsidR="008A687D" w:rsidRDefault="00000000">
            <w:pPr>
              <w:numPr>
                <w:ilvl w:val="0"/>
                <w:numId w:val="6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оспособљени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препознавање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прекограничних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и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регионалних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изазова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53C5DA75" w14:textId="77777777" w:rsidR="008A687D" w:rsidRDefault="00000000">
            <w:pPr>
              <w:numPr>
                <w:ilvl w:val="0"/>
                <w:numId w:val="6"/>
              </w:numPr>
              <w:ind w:hanging="326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Полазници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су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мотивисани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за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похађање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специјалистичких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обука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области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припреме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или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управљања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пројектима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</w:tc>
      </w:tr>
      <w:tr w:rsidR="008A687D" w14:paraId="755BC9D9" w14:textId="77777777">
        <w:trPr>
          <w:trHeight w:val="1650"/>
        </w:trPr>
        <w:tc>
          <w:tcPr>
            <w:tcW w:w="224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F2F2"/>
          </w:tcPr>
          <w:p w14:paraId="75A94942" w14:textId="77777777" w:rsidR="008A687D" w:rsidRDefault="00000000">
            <w:pPr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>Методе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извођења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обуке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10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A6C6907" w14:textId="77777777" w:rsidR="008A687D" w:rsidRDefault="00000000">
            <w:proofErr w:type="spellStart"/>
            <w:r>
              <w:rPr>
                <w:rFonts w:ascii="Cambria" w:eastAsia="Cambria" w:hAnsi="Cambria" w:cs="Cambria"/>
                <w:sz w:val="20"/>
              </w:rPr>
              <w:t>Обука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се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може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држати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као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класична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обука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у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учионици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или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вебинар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. </w:t>
            </w:r>
          </w:p>
          <w:p w14:paraId="0388D1F7" w14:textId="3035DA3E" w:rsidR="00172537" w:rsidRDefault="00000000" w:rsidP="00172537">
            <w:pPr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14:paraId="33ED3785" w14:textId="411CA5F9" w:rsidR="00172537" w:rsidRPr="00A17C79" w:rsidRDefault="00172537" w:rsidP="009B330F">
            <w:pPr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Први дан обуке (8 академских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часова)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је теор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етски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, а други дан обуке (8 академских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часова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) је практични рад. </w:t>
            </w:r>
          </w:p>
          <w:p w14:paraId="2E77A76F" w14:textId="12656685" w:rsidR="00172537" w:rsidRDefault="00172537" w:rsidP="009B330F">
            <w:pPr>
              <w:rPr>
                <w:rFonts w:ascii="Cambria" w:hAnsi="Cambria"/>
                <w:sz w:val="20"/>
                <w:szCs w:val="20"/>
                <w:lang w:val="hr-BA"/>
              </w:rPr>
            </w:pP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Теор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етски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дио обуке (први дан) укључује тест провјере знања. Практични рад (други дан) састоји се од рада на конкретним примјерима: припрема за аплицирање на позив, укључујући анализу документације, дефини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с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>ање циљева пројекта, попуњавање апликаци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оног</w:t>
            </w:r>
            <w:r w:rsidRPr="00A17C79">
              <w:rPr>
                <w:rFonts w:ascii="Cambria" w:hAnsi="Cambria"/>
                <w:sz w:val="20"/>
                <w:szCs w:val="20"/>
                <w:lang w:val="hr-BA"/>
              </w:rPr>
              <w:t xml:space="preserve"> обрасца, савјети за припрему и писање приједлога пројекта, тражење партнера за пројекат и сл.  </w:t>
            </w:r>
          </w:p>
          <w:p w14:paraId="3F5F170E" w14:textId="77777777" w:rsidR="00172537" w:rsidRDefault="00172537" w:rsidP="009B330F">
            <w:pPr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3E0443BC" w14:textId="170E08D1" w:rsidR="00172537" w:rsidRPr="00986EA4" w:rsidRDefault="00172537" w:rsidP="009B330F">
            <w:pPr>
              <w:rPr>
                <w:rFonts w:ascii="Cambria" w:hAnsi="Cambria"/>
                <w:sz w:val="20"/>
                <w:szCs w:val="20"/>
                <w:lang w:val="hr-BA"/>
              </w:rPr>
            </w:pPr>
            <w:r w:rsidRPr="00986EA4">
              <w:rPr>
                <w:rFonts w:ascii="Cambria" w:hAnsi="Cambria"/>
                <w:sz w:val="20"/>
                <w:szCs w:val="20"/>
                <w:lang w:val="hr-BA"/>
              </w:rPr>
              <w:t xml:space="preserve">Уколико се обука држи у форми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в</w:t>
            </w:r>
            <w:r w:rsidRPr="00986EA4">
              <w:rPr>
                <w:rFonts w:ascii="Cambria" w:hAnsi="Cambria"/>
                <w:sz w:val="20"/>
                <w:szCs w:val="20"/>
                <w:lang w:val="hr-BA"/>
              </w:rPr>
              <w:t>ебинара, скраћ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ивање</w:t>
            </w:r>
            <w:r w:rsidRPr="00986EA4">
              <w:rPr>
                <w:rFonts w:ascii="Cambria" w:hAnsi="Cambria"/>
                <w:sz w:val="20"/>
                <w:szCs w:val="20"/>
                <w:lang w:val="hr-BA"/>
              </w:rPr>
              <w:t xml:space="preserve"> њеног трајања треба бити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</w:t>
            </w:r>
            <w:r w:rsidRPr="00986EA4">
              <w:rPr>
                <w:rFonts w:ascii="Cambria" w:hAnsi="Cambria"/>
                <w:sz w:val="20"/>
                <w:szCs w:val="20"/>
                <w:lang w:val="hr-BA"/>
              </w:rPr>
              <w:t>проведено на начин да се о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безбиједи</w:t>
            </w:r>
            <w:r w:rsidRPr="00986EA4">
              <w:rPr>
                <w:rFonts w:ascii="Cambria" w:hAnsi="Cambria"/>
                <w:sz w:val="20"/>
                <w:szCs w:val="20"/>
                <w:lang w:val="hr-BA"/>
              </w:rPr>
              <w:t xml:space="preserve"> пропорционално покривање цјелокупног садржаја.</w:t>
            </w:r>
          </w:p>
          <w:p w14:paraId="2238BA9C" w14:textId="478E5EEB" w:rsidR="008A687D" w:rsidRDefault="00000000" w:rsidP="00172537">
            <w:pPr>
              <w:spacing w:line="237" w:lineRule="auto"/>
              <w:ind w:right="622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</w:tbl>
    <w:p w14:paraId="5D5B83DA" w14:textId="77777777" w:rsidR="008A687D" w:rsidRDefault="00000000">
      <w:pPr>
        <w:spacing w:after="175"/>
        <w:jc w:val="both"/>
      </w:pPr>
      <w:r>
        <w:rPr>
          <w:rFonts w:ascii="Cambria" w:eastAsia="Cambria" w:hAnsi="Cambria" w:cs="Cambria"/>
          <w:sz w:val="20"/>
        </w:rPr>
        <w:t xml:space="preserve"> </w:t>
      </w:r>
    </w:p>
    <w:p w14:paraId="1ADE27BA" w14:textId="77777777" w:rsidR="008A687D" w:rsidRDefault="00000000">
      <w:pPr>
        <w:spacing w:after="0"/>
        <w:jc w:val="both"/>
      </w:pPr>
      <w:r>
        <w:t xml:space="preserve"> </w:t>
      </w:r>
    </w:p>
    <w:sectPr w:rsidR="008A687D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790"/>
    <w:multiLevelType w:val="hybridMultilevel"/>
    <w:tmpl w:val="AA807A54"/>
    <w:lvl w:ilvl="0" w:tplc="4456EB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A7D8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0EB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2E4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C48A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026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2E44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AA91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A27AF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10"/>
    <w:multiLevelType w:val="hybridMultilevel"/>
    <w:tmpl w:val="5B543E8A"/>
    <w:lvl w:ilvl="0" w:tplc="1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390023"/>
    <w:multiLevelType w:val="hybridMultilevel"/>
    <w:tmpl w:val="B7D4E9D8"/>
    <w:lvl w:ilvl="0" w:tplc="C2888AE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560F1"/>
    <w:multiLevelType w:val="hybridMultilevel"/>
    <w:tmpl w:val="6D500BA8"/>
    <w:lvl w:ilvl="0" w:tplc="A560DB62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52E05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EB8C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C1AD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4316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A7F1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B0A23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09F1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0C93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5D3E0E"/>
    <w:multiLevelType w:val="hybridMultilevel"/>
    <w:tmpl w:val="B67EA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720"/>
    <w:multiLevelType w:val="hybridMultilevel"/>
    <w:tmpl w:val="CD0E3AC2"/>
    <w:lvl w:ilvl="0" w:tplc="863884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82507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97A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E58B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30973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24DE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A5D9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0C3EC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A2185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6D3793"/>
    <w:multiLevelType w:val="hybridMultilevel"/>
    <w:tmpl w:val="789A1E78"/>
    <w:lvl w:ilvl="0" w:tplc="39BAF0FC">
      <w:start w:val="1"/>
      <w:numFmt w:val="bullet"/>
      <w:lvlText w:val="•"/>
      <w:lvlJc w:val="left"/>
      <w:pPr>
        <w:ind w:left="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242746">
      <w:start w:val="1"/>
      <w:numFmt w:val="bullet"/>
      <w:lvlText w:val="o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E5306">
      <w:start w:val="1"/>
      <w:numFmt w:val="bullet"/>
      <w:lvlText w:val="▪"/>
      <w:lvlJc w:val="left"/>
      <w:pPr>
        <w:ind w:left="1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2B8EE">
      <w:start w:val="1"/>
      <w:numFmt w:val="bullet"/>
      <w:lvlText w:val="•"/>
      <w:lvlJc w:val="left"/>
      <w:pPr>
        <w:ind w:left="2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0E2CC">
      <w:start w:val="1"/>
      <w:numFmt w:val="bullet"/>
      <w:lvlText w:val="o"/>
      <w:lvlJc w:val="left"/>
      <w:pPr>
        <w:ind w:left="3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932C">
      <w:start w:val="1"/>
      <w:numFmt w:val="bullet"/>
      <w:lvlText w:val="▪"/>
      <w:lvlJc w:val="left"/>
      <w:pPr>
        <w:ind w:left="4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46FA8">
      <w:start w:val="1"/>
      <w:numFmt w:val="bullet"/>
      <w:lvlText w:val="•"/>
      <w:lvlJc w:val="left"/>
      <w:pPr>
        <w:ind w:left="4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C6104">
      <w:start w:val="1"/>
      <w:numFmt w:val="bullet"/>
      <w:lvlText w:val="o"/>
      <w:lvlJc w:val="left"/>
      <w:pPr>
        <w:ind w:left="5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1CAED0">
      <w:start w:val="1"/>
      <w:numFmt w:val="bullet"/>
      <w:lvlText w:val="▪"/>
      <w:lvlJc w:val="left"/>
      <w:pPr>
        <w:ind w:left="6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7312F9"/>
    <w:multiLevelType w:val="hybridMultilevel"/>
    <w:tmpl w:val="3E34B146"/>
    <w:lvl w:ilvl="0" w:tplc="57E08D8A">
      <w:start w:val="1"/>
      <w:numFmt w:val="decimal"/>
      <w:lvlText w:val="%1."/>
      <w:lvlJc w:val="left"/>
      <w:pPr>
        <w:ind w:left="32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CD36">
      <w:start w:val="1"/>
      <w:numFmt w:val="bullet"/>
      <w:lvlText w:val="•"/>
      <w:lvlJc w:val="left"/>
      <w:pPr>
        <w:ind w:left="8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44C5C">
      <w:start w:val="1"/>
      <w:numFmt w:val="bullet"/>
      <w:lvlText w:val="▪"/>
      <w:lvlJc w:val="left"/>
      <w:pPr>
        <w:ind w:left="1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C001A">
      <w:start w:val="1"/>
      <w:numFmt w:val="bullet"/>
      <w:lvlText w:val="•"/>
      <w:lvlJc w:val="left"/>
      <w:pPr>
        <w:ind w:left="2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054E8">
      <w:start w:val="1"/>
      <w:numFmt w:val="bullet"/>
      <w:lvlText w:val="o"/>
      <w:lvlJc w:val="left"/>
      <w:pPr>
        <w:ind w:left="3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AFE74">
      <w:start w:val="1"/>
      <w:numFmt w:val="bullet"/>
      <w:lvlText w:val="▪"/>
      <w:lvlJc w:val="left"/>
      <w:pPr>
        <w:ind w:left="3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27854">
      <w:start w:val="1"/>
      <w:numFmt w:val="bullet"/>
      <w:lvlText w:val="•"/>
      <w:lvlJc w:val="left"/>
      <w:pPr>
        <w:ind w:left="4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6A02E">
      <w:start w:val="1"/>
      <w:numFmt w:val="bullet"/>
      <w:lvlText w:val="o"/>
      <w:lvlJc w:val="left"/>
      <w:pPr>
        <w:ind w:left="5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425C4">
      <w:start w:val="1"/>
      <w:numFmt w:val="bullet"/>
      <w:lvlText w:val="▪"/>
      <w:lvlJc w:val="left"/>
      <w:pPr>
        <w:ind w:left="5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3514B"/>
    <w:multiLevelType w:val="hybridMultilevel"/>
    <w:tmpl w:val="D3CAA944"/>
    <w:lvl w:ilvl="0" w:tplc="03DE99D6">
      <w:start w:val="1"/>
      <w:numFmt w:val="bullet"/>
      <w:lvlText w:val="•"/>
      <w:lvlJc w:val="left"/>
      <w:pPr>
        <w:ind w:left="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3247AC">
      <w:start w:val="1"/>
      <w:numFmt w:val="bullet"/>
      <w:lvlText w:val="o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620AE">
      <w:start w:val="1"/>
      <w:numFmt w:val="bullet"/>
      <w:lvlText w:val="▪"/>
      <w:lvlJc w:val="left"/>
      <w:pPr>
        <w:ind w:left="1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00A9C">
      <w:start w:val="1"/>
      <w:numFmt w:val="bullet"/>
      <w:lvlText w:val="•"/>
      <w:lvlJc w:val="left"/>
      <w:pPr>
        <w:ind w:left="2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07686">
      <w:start w:val="1"/>
      <w:numFmt w:val="bullet"/>
      <w:lvlText w:val="o"/>
      <w:lvlJc w:val="left"/>
      <w:pPr>
        <w:ind w:left="3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6A47C8">
      <w:start w:val="1"/>
      <w:numFmt w:val="bullet"/>
      <w:lvlText w:val="▪"/>
      <w:lvlJc w:val="left"/>
      <w:pPr>
        <w:ind w:left="4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420F50">
      <w:start w:val="1"/>
      <w:numFmt w:val="bullet"/>
      <w:lvlText w:val="•"/>
      <w:lvlJc w:val="left"/>
      <w:pPr>
        <w:ind w:left="4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6A9C4">
      <w:start w:val="1"/>
      <w:numFmt w:val="bullet"/>
      <w:lvlText w:val="o"/>
      <w:lvlJc w:val="left"/>
      <w:pPr>
        <w:ind w:left="5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782286">
      <w:start w:val="1"/>
      <w:numFmt w:val="bullet"/>
      <w:lvlText w:val="▪"/>
      <w:lvlJc w:val="left"/>
      <w:pPr>
        <w:ind w:left="6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817BE3"/>
    <w:multiLevelType w:val="hybridMultilevel"/>
    <w:tmpl w:val="0300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2803">
    <w:abstractNumId w:val="7"/>
  </w:num>
  <w:num w:numId="2" w16cid:durableId="1738287749">
    <w:abstractNumId w:val="0"/>
  </w:num>
  <w:num w:numId="3" w16cid:durableId="714700019">
    <w:abstractNumId w:val="8"/>
  </w:num>
  <w:num w:numId="4" w16cid:durableId="578833579">
    <w:abstractNumId w:val="6"/>
  </w:num>
  <w:num w:numId="5" w16cid:durableId="1060058998">
    <w:abstractNumId w:val="5"/>
  </w:num>
  <w:num w:numId="6" w16cid:durableId="1549149939">
    <w:abstractNumId w:val="3"/>
  </w:num>
  <w:num w:numId="7" w16cid:durableId="1304459485">
    <w:abstractNumId w:val="4"/>
  </w:num>
  <w:num w:numId="8" w16cid:durableId="2140412058">
    <w:abstractNumId w:val="2"/>
  </w:num>
  <w:num w:numId="9" w16cid:durableId="2140028440">
    <w:abstractNumId w:val="9"/>
  </w:num>
  <w:num w:numId="10" w16cid:durableId="182342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7D"/>
    <w:rsid w:val="00172537"/>
    <w:rsid w:val="003B7E4B"/>
    <w:rsid w:val="008A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AF68"/>
  <w15:docId w15:val="{1890C556-0BE3-468C-A50C-10D95C53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rFonts w:ascii="Calibri" w:eastAsia="Calibri" w:hAnsi="Calibri" w:cs="Calibri"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spiska">
    <w:name w:val="List Paragraph"/>
    <w:basedOn w:val="Normalno"/>
    <w:uiPriority w:val="34"/>
    <w:qFormat/>
    <w:rsid w:val="00172537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56D8-9DCB-4EFF-9791-A299C00A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cp:lastModifiedBy>Suzana Mijatović</cp:lastModifiedBy>
  <cp:revision>2</cp:revision>
  <dcterms:created xsi:type="dcterms:W3CDTF">2024-01-26T09:40:00Z</dcterms:created>
  <dcterms:modified xsi:type="dcterms:W3CDTF">2024-01-26T09:40:00Z</dcterms:modified>
</cp:coreProperties>
</file>