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3"/>
        <w:tblW w:w="9356" w:type="dxa"/>
        <w:tblLayout w:type="fixed"/>
        <w:tblLook w:val="01E0" w:firstRow="1" w:lastRow="1" w:firstColumn="1" w:lastColumn="1" w:noHBand="0" w:noVBand="0"/>
      </w:tblPr>
      <w:tblGrid>
        <w:gridCol w:w="4111"/>
        <w:gridCol w:w="1134"/>
        <w:gridCol w:w="4111"/>
      </w:tblGrid>
      <w:tr w:rsidR="00F90725" w:rsidRPr="00A641C4" w14:paraId="5FDD3C0A" w14:textId="77777777" w:rsidTr="00C64893">
        <w:trPr>
          <w:cantSplit/>
        </w:trPr>
        <w:tc>
          <w:tcPr>
            <w:tcW w:w="4111" w:type="dxa"/>
          </w:tcPr>
          <w:p w14:paraId="14EAE16D" w14:textId="77777777" w:rsidR="0047598D" w:rsidRDefault="0047598D">
            <w:bookmarkStart w:id="0" w:name="_Hlk177659780"/>
          </w:p>
          <w:p w14:paraId="2CCECDD9" w14:textId="77777777" w:rsidR="00F90725" w:rsidRPr="00A641C4" w:rsidRDefault="00F90725" w:rsidP="00C64893">
            <w:pPr>
              <w:pStyle w:val="NormalIndent"/>
              <w:tabs>
                <w:tab w:val="center" w:pos="1947"/>
              </w:tabs>
              <w:ind w:left="0"/>
              <w:rPr>
                <w:rFonts w:ascii="Calibri" w:hAnsi="Calibri"/>
                <w:position w:val="14"/>
                <w:sz w:val="22"/>
                <w:szCs w:val="22"/>
              </w:rPr>
            </w:pPr>
            <w:r w:rsidRPr="00EC5882">
              <w:rPr>
                <w:rFonts w:ascii="Calibri" w:hAnsi="Calibri"/>
                <w:position w:val="14"/>
                <w:sz w:val="22"/>
                <w:szCs w:val="22"/>
              </w:rPr>
              <w:tab/>
            </w:r>
            <w:r w:rsidRPr="00A641C4">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14BBCEAF" w14:textId="77777777" w:rsidR="00F90725" w:rsidRPr="00A641C4" w:rsidRDefault="00F90725" w:rsidP="00C64893">
            <w:pPr>
              <w:pStyle w:val="NormalIndent"/>
              <w:ind w:left="0"/>
              <w:jc w:val="center"/>
              <w:rPr>
                <w:rFonts w:ascii="Calibri" w:hAnsi="Calibri"/>
                <w:sz w:val="22"/>
                <w:szCs w:val="22"/>
              </w:rPr>
            </w:pPr>
            <w:r w:rsidRPr="00A641C4">
              <w:rPr>
                <w:rFonts w:ascii="Calibri" w:hAnsi="Calibri"/>
                <w:sz w:val="22"/>
                <w:szCs w:val="22"/>
              </w:rPr>
              <w:object w:dxaOrig="833" w:dyaOrig="943" w14:anchorId="4E149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7" o:title=""/>
                </v:shape>
                <o:OLEObject Type="Embed" ProgID="CorelDRAW.Graphic.9" ShapeID="_x0000_i1025" DrawAspect="Content" ObjectID="_1788273387" r:id="rId8"/>
              </w:object>
            </w:r>
          </w:p>
        </w:tc>
        <w:tc>
          <w:tcPr>
            <w:tcW w:w="4111" w:type="dxa"/>
          </w:tcPr>
          <w:p w14:paraId="03F4C2AE" w14:textId="77777777" w:rsidR="00F90725" w:rsidRPr="00A641C4" w:rsidRDefault="00F90725" w:rsidP="00C64893">
            <w:pPr>
              <w:pStyle w:val="NormalIndent"/>
              <w:ind w:left="0"/>
              <w:jc w:val="center"/>
              <w:rPr>
                <w:rFonts w:ascii="Calibri" w:hAnsi="Calibri"/>
                <w:sz w:val="22"/>
                <w:szCs w:val="22"/>
              </w:rPr>
            </w:pPr>
            <w:r w:rsidRPr="00A641C4">
              <w:rPr>
                <w:rFonts w:ascii="Calibri" w:hAnsi="Calibri"/>
                <w:sz w:val="22"/>
                <w:szCs w:val="22"/>
              </w:rPr>
              <w:t>Б О С Н А   И   Х Е Р Ц Е Г О В И Н А</w:t>
            </w:r>
          </w:p>
        </w:tc>
      </w:tr>
      <w:tr w:rsidR="00F90725" w:rsidRPr="00A641C4" w14:paraId="3C08C5A8" w14:textId="77777777" w:rsidTr="00C64893">
        <w:trPr>
          <w:cantSplit/>
        </w:trPr>
        <w:tc>
          <w:tcPr>
            <w:tcW w:w="4111" w:type="dxa"/>
          </w:tcPr>
          <w:p w14:paraId="455539A1" w14:textId="77777777" w:rsidR="00F90725" w:rsidRPr="00A641C4" w:rsidRDefault="00F90725" w:rsidP="00C64893">
            <w:pPr>
              <w:pStyle w:val="NormalIndent"/>
              <w:ind w:left="0"/>
              <w:jc w:val="center"/>
              <w:rPr>
                <w:rFonts w:ascii="Calibri" w:hAnsi="Calibri"/>
                <w:position w:val="14"/>
                <w:sz w:val="22"/>
                <w:szCs w:val="22"/>
              </w:rPr>
            </w:pPr>
            <w:r w:rsidRPr="00A641C4">
              <w:rPr>
                <w:rFonts w:ascii="Calibri" w:hAnsi="Calibri"/>
                <w:position w:val="14"/>
                <w:sz w:val="22"/>
                <w:szCs w:val="22"/>
              </w:rPr>
              <w:t>VIJEĆE MINISTARA</w:t>
            </w:r>
          </w:p>
        </w:tc>
        <w:tc>
          <w:tcPr>
            <w:tcW w:w="1134" w:type="dxa"/>
            <w:vMerge/>
            <w:tcBorders>
              <w:bottom w:val="single" w:sz="4" w:space="0" w:color="auto"/>
            </w:tcBorders>
          </w:tcPr>
          <w:p w14:paraId="7190A1D6" w14:textId="77777777" w:rsidR="00F90725" w:rsidRPr="00A641C4" w:rsidRDefault="00F90725" w:rsidP="00C64893">
            <w:pPr>
              <w:pStyle w:val="NormalIndent"/>
              <w:ind w:left="0"/>
              <w:rPr>
                <w:rFonts w:ascii="Calibri" w:hAnsi="Calibri"/>
                <w:sz w:val="22"/>
                <w:szCs w:val="22"/>
              </w:rPr>
            </w:pPr>
          </w:p>
        </w:tc>
        <w:tc>
          <w:tcPr>
            <w:tcW w:w="4111" w:type="dxa"/>
          </w:tcPr>
          <w:p w14:paraId="549D9277" w14:textId="77777777" w:rsidR="00F90725" w:rsidRPr="00A641C4" w:rsidRDefault="00F90725" w:rsidP="00C64893">
            <w:pPr>
              <w:pStyle w:val="NormalIndent"/>
              <w:ind w:left="0"/>
              <w:jc w:val="center"/>
              <w:rPr>
                <w:rFonts w:ascii="Calibri" w:hAnsi="Calibri"/>
                <w:sz w:val="22"/>
                <w:szCs w:val="22"/>
              </w:rPr>
            </w:pPr>
            <w:r w:rsidRPr="00A641C4">
              <w:rPr>
                <w:rFonts w:ascii="Calibri" w:hAnsi="Calibri"/>
                <w:sz w:val="22"/>
                <w:szCs w:val="22"/>
              </w:rPr>
              <w:t>САВЈЕТ МИНИСТАРА</w:t>
            </w:r>
          </w:p>
        </w:tc>
      </w:tr>
      <w:tr w:rsidR="00F90725" w:rsidRPr="00A641C4" w14:paraId="5AB6FA62" w14:textId="77777777" w:rsidTr="00C64893">
        <w:trPr>
          <w:cantSplit/>
        </w:trPr>
        <w:tc>
          <w:tcPr>
            <w:tcW w:w="4111" w:type="dxa"/>
          </w:tcPr>
          <w:p w14:paraId="3793A37C" w14:textId="77777777" w:rsidR="00F90725" w:rsidRPr="00A641C4" w:rsidRDefault="00F90725" w:rsidP="00C64893">
            <w:pPr>
              <w:pStyle w:val="NormalIndent"/>
              <w:ind w:left="0"/>
              <w:jc w:val="center"/>
              <w:rPr>
                <w:rFonts w:ascii="Calibri" w:hAnsi="Calibri"/>
                <w:position w:val="14"/>
                <w:sz w:val="22"/>
                <w:szCs w:val="22"/>
              </w:rPr>
            </w:pPr>
            <w:r w:rsidRPr="00A641C4">
              <w:rPr>
                <w:rFonts w:ascii="Calibri" w:hAnsi="Calibri"/>
                <w:b/>
                <w:bCs/>
                <w:i/>
                <w:iCs/>
                <w:position w:val="14"/>
                <w:sz w:val="22"/>
                <w:szCs w:val="22"/>
              </w:rPr>
              <w:t>DIREKCIJA ZA EVROPSKE INTEGRACIJE</w:t>
            </w:r>
          </w:p>
        </w:tc>
        <w:tc>
          <w:tcPr>
            <w:tcW w:w="1134" w:type="dxa"/>
            <w:vMerge/>
            <w:tcBorders>
              <w:bottom w:val="single" w:sz="4" w:space="0" w:color="auto"/>
            </w:tcBorders>
          </w:tcPr>
          <w:p w14:paraId="35F3A3A4" w14:textId="77777777" w:rsidR="00F90725" w:rsidRPr="00A641C4" w:rsidRDefault="00F90725" w:rsidP="00C64893">
            <w:pPr>
              <w:pStyle w:val="NormalIndent"/>
              <w:ind w:left="0"/>
              <w:rPr>
                <w:rFonts w:ascii="Calibri" w:hAnsi="Calibri"/>
                <w:sz w:val="22"/>
                <w:szCs w:val="22"/>
              </w:rPr>
            </w:pPr>
          </w:p>
        </w:tc>
        <w:tc>
          <w:tcPr>
            <w:tcW w:w="4111" w:type="dxa"/>
          </w:tcPr>
          <w:p w14:paraId="5ED98B04" w14:textId="77777777" w:rsidR="00F90725" w:rsidRPr="00A641C4" w:rsidRDefault="00F90725" w:rsidP="00C64893">
            <w:pPr>
              <w:pStyle w:val="NormalIndent"/>
              <w:ind w:left="0"/>
              <w:jc w:val="center"/>
              <w:rPr>
                <w:rFonts w:ascii="Calibri" w:hAnsi="Calibri"/>
                <w:sz w:val="22"/>
                <w:szCs w:val="22"/>
              </w:rPr>
            </w:pPr>
          </w:p>
        </w:tc>
      </w:tr>
      <w:tr w:rsidR="00F90725" w:rsidRPr="00A641C4" w14:paraId="0DE726C8" w14:textId="77777777" w:rsidTr="00C64893">
        <w:trPr>
          <w:cantSplit/>
        </w:trPr>
        <w:tc>
          <w:tcPr>
            <w:tcW w:w="4111" w:type="dxa"/>
            <w:tcBorders>
              <w:bottom w:val="single" w:sz="4" w:space="0" w:color="auto"/>
            </w:tcBorders>
          </w:tcPr>
          <w:p w14:paraId="38B06AF4" w14:textId="77777777" w:rsidR="00F90725" w:rsidRPr="00A641C4" w:rsidRDefault="00F90725" w:rsidP="00C64893">
            <w:pPr>
              <w:pStyle w:val="NormalIndent"/>
              <w:ind w:left="0"/>
              <w:jc w:val="center"/>
              <w:rPr>
                <w:rFonts w:ascii="Calibri" w:hAnsi="Calibri"/>
                <w:position w:val="14"/>
                <w:sz w:val="22"/>
                <w:szCs w:val="22"/>
              </w:rPr>
            </w:pPr>
            <w:r w:rsidRPr="00A641C4">
              <w:rPr>
                <w:rFonts w:ascii="Calibri" w:hAnsi="Calibri"/>
                <w:b/>
                <w:bCs/>
                <w:i/>
                <w:iCs/>
                <w:position w:val="14"/>
                <w:sz w:val="22"/>
                <w:szCs w:val="22"/>
              </w:rPr>
              <w:t>DIREKCIJA ZA EUROPSKE INTEGRACIJE</w:t>
            </w:r>
          </w:p>
        </w:tc>
        <w:tc>
          <w:tcPr>
            <w:tcW w:w="1134" w:type="dxa"/>
            <w:vMerge/>
            <w:tcBorders>
              <w:bottom w:val="single" w:sz="4" w:space="0" w:color="auto"/>
            </w:tcBorders>
          </w:tcPr>
          <w:p w14:paraId="6303D4F3" w14:textId="77777777" w:rsidR="00F90725" w:rsidRPr="00A641C4" w:rsidRDefault="00F90725" w:rsidP="00C64893">
            <w:pPr>
              <w:pStyle w:val="NormalIndent"/>
              <w:ind w:left="0"/>
              <w:rPr>
                <w:rFonts w:ascii="Calibri" w:hAnsi="Calibri"/>
                <w:sz w:val="22"/>
                <w:szCs w:val="22"/>
              </w:rPr>
            </w:pPr>
          </w:p>
        </w:tc>
        <w:tc>
          <w:tcPr>
            <w:tcW w:w="4111" w:type="dxa"/>
            <w:tcBorders>
              <w:bottom w:val="single" w:sz="4" w:space="0" w:color="auto"/>
            </w:tcBorders>
          </w:tcPr>
          <w:p w14:paraId="250D64F7" w14:textId="77777777" w:rsidR="00F90725" w:rsidRPr="00A641C4" w:rsidRDefault="00F90725" w:rsidP="00C64893">
            <w:pPr>
              <w:pStyle w:val="NormalIndent"/>
              <w:ind w:left="0"/>
              <w:jc w:val="center"/>
              <w:rPr>
                <w:rFonts w:ascii="Calibri" w:hAnsi="Calibri"/>
                <w:sz w:val="22"/>
                <w:szCs w:val="22"/>
              </w:rPr>
            </w:pPr>
            <w:r w:rsidRPr="00A641C4">
              <w:rPr>
                <w:rFonts w:ascii="Calibri" w:hAnsi="Calibri"/>
                <w:b/>
                <w:bCs/>
                <w:i/>
                <w:iCs/>
                <w:sz w:val="22"/>
                <w:szCs w:val="22"/>
              </w:rPr>
              <w:t>ДИРЕКЦИЈА ЗА ЕВРОПСКЕ ИНТЕГРАЦИЈЕ</w:t>
            </w:r>
          </w:p>
        </w:tc>
      </w:tr>
    </w:tbl>
    <w:p w14:paraId="77C79255" w14:textId="77777777" w:rsidR="00F90725" w:rsidRPr="00A641C4" w:rsidRDefault="00F90725" w:rsidP="00F90725">
      <w:pPr>
        <w:spacing w:line="180" w:lineRule="exact"/>
        <w:ind w:left="750"/>
        <w:rPr>
          <w:sz w:val="16"/>
          <w:szCs w:val="16"/>
          <w:lang w:val="ru-RU"/>
        </w:rPr>
      </w:pPr>
      <w:r w:rsidRPr="00A641C4">
        <w:rPr>
          <w:b/>
          <w:i/>
          <w:sz w:val="16"/>
          <w:szCs w:val="16"/>
          <w:lang w:val="hr-HR"/>
        </w:rPr>
        <w:t xml:space="preserve">                                                                                                                                 </w:t>
      </w:r>
      <w:r w:rsidRPr="00A641C4">
        <w:rPr>
          <w:b/>
          <w:i/>
          <w:spacing w:val="-1"/>
          <w:sz w:val="16"/>
          <w:szCs w:val="16"/>
          <w:lang w:val="hr-HR"/>
        </w:rPr>
        <w:t xml:space="preserve">                                           </w:t>
      </w:r>
    </w:p>
    <w:p w14:paraId="3E45B240" w14:textId="77777777" w:rsidR="00F90725" w:rsidRPr="00A641C4" w:rsidRDefault="00F90725" w:rsidP="00F90725">
      <w:pPr>
        <w:spacing w:before="8" w:line="200" w:lineRule="exact"/>
        <w:rPr>
          <w:rFonts w:ascii="Calibri" w:hAnsi="Calibri" w:cs="Calibri"/>
          <w:lang w:val="bs-Latn-BA"/>
        </w:rPr>
      </w:pPr>
    </w:p>
    <w:p w14:paraId="623287F1" w14:textId="77777777" w:rsidR="009714B2" w:rsidRDefault="009714B2"/>
    <w:p w14:paraId="1EB1E010" w14:textId="77777777" w:rsidR="0047598D" w:rsidRDefault="0047598D" w:rsidP="0047598D">
      <w:pPr>
        <w:spacing w:line="360" w:lineRule="auto"/>
        <w:ind w:left="239"/>
        <w:jc w:val="both"/>
        <w:rPr>
          <w:rFonts w:ascii="Calibri" w:eastAsia="Calibri" w:hAnsi="Calibri" w:cs="Calibri"/>
          <w:i/>
          <w:spacing w:val="1"/>
          <w:sz w:val="24"/>
          <w:szCs w:val="24"/>
          <w:lang w:val="bs-Latn-BA"/>
        </w:rPr>
      </w:pPr>
      <w:r w:rsidRPr="0047598D">
        <w:rPr>
          <w:rFonts w:ascii="Calibri" w:eastAsia="Calibri" w:hAnsi="Calibri" w:cs="Calibri"/>
          <w:i/>
          <w:spacing w:val="1"/>
          <w:sz w:val="24"/>
          <w:szCs w:val="24"/>
          <w:lang w:val="bs-Latn-BA"/>
        </w:rPr>
        <w:t xml:space="preserve">Брисел, 19.9.2024. године </w:t>
      </w:r>
    </w:p>
    <w:p w14:paraId="12FC7378" w14:textId="17C293EE" w:rsidR="0047598D" w:rsidRDefault="0047598D" w:rsidP="0047598D">
      <w:pPr>
        <w:spacing w:line="360" w:lineRule="auto"/>
        <w:ind w:left="239"/>
        <w:jc w:val="both"/>
        <w:rPr>
          <w:rFonts w:ascii="Calibri" w:eastAsia="Calibri" w:hAnsi="Calibri" w:cs="Calibri"/>
          <w:i/>
          <w:spacing w:val="1"/>
          <w:sz w:val="24"/>
          <w:szCs w:val="24"/>
          <w:lang w:val="bs-Latn-BA"/>
        </w:rPr>
      </w:pPr>
      <w:r w:rsidRPr="0047598D">
        <w:rPr>
          <w:rFonts w:ascii="Calibri" w:eastAsia="Calibri" w:hAnsi="Calibri" w:cs="Calibri"/>
          <w:i/>
          <w:spacing w:val="1"/>
          <w:sz w:val="24"/>
          <w:szCs w:val="24"/>
          <w:lang w:val="bs-Latn-BA"/>
        </w:rPr>
        <w:t xml:space="preserve">МЕДИЈИМА </w:t>
      </w:r>
    </w:p>
    <w:p w14:paraId="2A193061" w14:textId="0126A13D" w:rsidR="0047598D" w:rsidRPr="0047598D" w:rsidRDefault="0047598D" w:rsidP="0047598D">
      <w:pPr>
        <w:jc w:val="both"/>
        <w:rPr>
          <w:rFonts w:ascii="Calibri" w:hAnsi="Calibri" w:cs="Calibri"/>
          <w:b/>
          <w:noProof/>
          <w:sz w:val="24"/>
          <w:szCs w:val="24"/>
          <w:lang w:val="bs-Latn-BA" w:eastAsia="en-GB"/>
        </w:rPr>
      </w:pPr>
      <w:r>
        <w:rPr>
          <w:rFonts w:ascii="Calibri" w:hAnsi="Calibri" w:cs="Calibri"/>
          <w:b/>
          <w:noProof/>
          <w:sz w:val="24"/>
          <w:szCs w:val="24"/>
          <w:lang w:val="bs-Latn-BA" w:eastAsia="en-GB"/>
        </w:rPr>
        <w:t xml:space="preserve">                                                         C</w:t>
      </w:r>
      <w:r w:rsidRPr="0047598D">
        <w:rPr>
          <w:rFonts w:ascii="Calibri" w:hAnsi="Calibri" w:cs="Calibri"/>
          <w:b/>
          <w:noProof/>
          <w:sz w:val="24"/>
          <w:szCs w:val="24"/>
          <w:lang w:val="bs-Latn-BA" w:eastAsia="en-GB"/>
        </w:rPr>
        <w:t>АОПШТЕЊЕ ЗА МЕДИЈЕ</w:t>
      </w:r>
    </w:p>
    <w:p w14:paraId="3D21DA92" w14:textId="1423DD05" w:rsidR="000516DA" w:rsidRDefault="0047598D" w:rsidP="0047598D">
      <w:pPr>
        <w:jc w:val="both"/>
        <w:rPr>
          <w:rFonts w:ascii="Calibri" w:hAnsi="Calibri" w:cs="Calibri"/>
          <w:b/>
          <w:noProof/>
          <w:sz w:val="24"/>
          <w:szCs w:val="24"/>
          <w:lang w:val="bs-Latn-BA" w:eastAsia="en-GB"/>
        </w:rPr>
      </w:pPr>
      <w:r>
        <w:rPr>
          <w:rFonts w:ascii="Calibri" w:hAnsi="Calibri" w:cs="Calibri"/>
          <w:b/>
          <w:noProof/>
          <w:sz w:val="24"/>
          <w:szCs w:val="24"/>
          <w:lang w:val="bs-Latn-BA" w:eastAsia="en-GB"/>
        </w:rPr>
        <w:t xml:space="preserve">                                     </w:t>
      </w:r>
      <w:r w:rsidRPr="0047598D">
        <w:rPr>
          <w:rFonts w:ascii="Calibri" w:hAnsi="Calibri" w:cs="Calibri"/>
          <w:b/>
          <w:noProof/>
          <w:sz w:val="24"/>
          <w:szCs w:val="24"/>
          <w:lang w:val="bs-Latn-BA" w:eastAsia="en-GB"/>
        </w:rPr>
        <w:t>Бх. власти требају наставити спровођење реформи</w:t>
      </w:r>
    </w:p>
    <w:p w14:paraId="1BE574D8" w14:textId="77777777" w:rsidR="0047598D" w:rsidRPr="00A641C4" w:rsidRDefault="0047598D" w:rsidP="0047598D">
      <w:pPr>
        <w:jc w:val="both"/>
        <w:rPr>
          <w:rFonts w:ascii="Calibri" w:hAnsi="Calibri" w:cs="Calibri"/>
          <w:sz w:val="24"/>
          <w:szCs w:val="24"/>
          <w:lang w:val="bs-Latn-BA"/>
        </w:rPr>
      </w:pPr>
    </w:p>
    <w:p w14:paraId="40C632BB" w14:textId="3A41EF7C" w:rsidR="000516DA" w:rsidRPr="00A641C4" w:rsidRDefault="0047598D" w:rsidP="0047598D">
      <w:pPr>
        <w:rPr>
          <w:rFonts w:ascii="Calibri" w:hAnsi="Calibri" w:cs="Calibri"/>
          <w:sz w:val="24"/>
          <w:szCs w:val="24"/>
          <w:lang w:val="bs-Latn-BA"/>
        </w:rPr>
      </w:pPr>
      <w:r w:rsidRPr="0047598D">
        <w:rPr>
          <w:rFonts w:ascii="Calibri" w:hAnsi="Calibri" w:cs="Calibri"/>
          <w:sz w:val="24"/>
          <w:szCs w:val="24"/>
          <w:lang w:val="bs-Latn-BA"/>
        </w:rPr>
        <w:t xml:space="preserve">Седми састанак Одбора за стабилизацију и придруживање између Европске уније и Босне и Херцеговине одржан је 19. септембра 2024. године у Бриселу. Састанком су копредсједавале директорка Дирекције за европске интеграције Елвира Хабота и Barbara Jésus </w:t>
      </w:r>
      <w:r>
        <w:rPr>
          <w:rFonts w:ascii="Calibri" w:hAnsi="Calibri" w:cs="Calibri"/>
          <w:sz w:val="24"/>
          <w:szCs w:val="24"/>
          <w:lang w:val="bs-Latn-BA"/>
        </w:rPr>
        <w:t>–</w:t>
      </w:r>
      <w:r w:rsidRPr="0047598D">
        <w:rPr>
          <w:rFonts w:ascii="Calibri" w:hAnsi="Calibri" w:cs="Calibri"/>
          <w:sz w:val="24"/>
          <w:szCs w:val="24"/>
          <w:lang w:val="bs-Latn-BA"/>
        </w:rPr>
        <w:t xml:space="preserve"> Gimeno</w:t>
      </w:r>
      <w:r>
        <w:rPr>
          <w:rFonts w:ascii="Calibri" w:hAnsi="Calibri" w:cs="Calibri"/>
          <w:sz w:val="24"/>
          <w:szCs w:val="24"/>
          <w:lang w:val="bs-Latn-BA"/>
        </w:rPr>
        <w:t xml:space="preserve"> </w:t>
      </w:r>
      <w:r w:rsidRPr="0047598D">
        <w:rPr>
          <w:rFonts w:ascii="Calibri" w:hAnsi="Calibri" w:cs="Calibri"/>
          <w:sz w:val="24"/>
          <w:szCs w:val="24"/>
          <w:lang w:val="bs-Latn-BA"/>
        </w:rPr>
        <w:t>из Опште управе за проширење и политику сусједства Европске комисије (</w:t>
      </w:r>
      <w:r w:rsidRPr="00A22D40">
        <w:rPr>
          <w:rFonts w:ascii="Calibri" w:hAnsi="Calibri" w:cs="Calibri"/>
          <w:i/>
          <w:iCs/>
          <w:sz w:val="24"/>
          <w:szCs w:val="24"/>
          <w:lang w:val="bs-Latn-BA"/>
        </w:rPr>
        <w:t>DG NEAR</w:t>
      </w:r>
      <w:r w:rsidRPr="0047598D">
        <w:rPr>
          <w:rFonts w:ascii="Calibri" w:hAnsi="Calibri" w:cs="Calibri"/>
          <w:sz w:val="24"/>
          <w:szCs w:val="24"/>
          <w:lang w:val="bs-Latn-BA"/>
        </w:rPr>
        <w:t xml:space="preserve">), а у уводном дијелу састанка обратила се директорица за Западни Балкан у </w:t>
      </w:r>
      <w:r w:rsidRPr="00A22D40">
        <w:rPr>
          <w:rFonts w:ascii="Calibri" w:hAnsi="Calibri" w:cs="Calibri"/>
          <w:i/>
          <w:iCs/>
          <w:sz w:val="24"/>
          <w:szCs w:val="24"/>
          <w:lang w:val="bs-Latn-BA"/>
        </w:rPr>
        <w:t>DG NEAR</w:t>
      </w:r>
      <w:r w:rsidRPr="0047598D">
        <w:rPr>
          <w:rFonts w:ascii="Calibri" w:hAnsi="Calibri" w:cs="Calibri"/>
          <w:sz w:val="24"/>
          <w:szCs w:val="24"/>
          <w:lang w:val="bs-Latn-BA"/>
        </w:rPr>
        <w:t>-у Валентина Суперти.</w:t>
      </w:r>
    </w:p>
    <w:p w14:paraId="12A933FD" w14:textId="77777777" w:rsidR="0047598D" w:rsidRPr="0047598D" w:rsidRDefault="0047598D" w:rsidP="0047598D">
      <w:pPr>
        <w:autoSpaceDE w:val="0"/>
        <w:autoSpaceDN w:val="0"/>
        <w:adjustRightInd w:val="0"/>
        <w:contextualSpacing/>
        <w:jc w:val="both"/>
        <w:rPr>
          <w:rFonts w:ascii="Calibri" w:hAnsi="Calibri" w:cs="Calibri"/>
          <w:sz w:val="24"/>
          <w:szCs w:val="24"/>
          <w:lang w:val="bs-Latn-BA"/>
        </w:rPr>
      </w:pPr>
      <w:r w:rsidRPr="0047598D">
        <w:rPr>
          <w:rFonts w:ascii="Calibri" w:hAnsi="Calibri" w:cs="Calibri"/>
          <w:sz w:val="24"/>
          <w:szCs w:val="24"/>
          <w:lang w:val="bs-Latn-BA"/>
        </w:rPr>
        <w:t xml:space="preserve">Европска комисија је истакла како бх. власти требају наставити позитивни замах у спровођењу реформи који је резултовао „зеленим свјетлом“ за отварање преговора, а да би Савјет ЕУ био у позицији да усвоји преговарачки оквир потребно је да бх. власти предузму све релевантне кораке из препоруке Комисије из 2022. године. </w:t>
      </w:r>
    </w:p>
    <w:p w14:paraId="003C29C9" w14:textId="77777777" w:rsidR="0047598D" w:rsidRPr="0047598D" w:rsidRDefault="0047598D" w:rsidP="0047598D">
      <w:pPr>
        <w:autoSpaceDE w:val="0"/>
        <w:autoSpaceDN w:val="0"/>
        <w:adjustRightInd w:val="0"/>
        <w:contextualSpacing/>
        <w:jc w:val="both"/>
        <w:rPr>
          <w:rFonts w:ascii="Calibri" w:hAnsi="Calibri" w:cs="Calibri"/>
          <w:sz w:val="24"/>
          <w:szCs w:val="24"/>
          <w:lang w:val="bs-Latn-BA"/>
        </w:rPr>
      </w:pPr>
    </w:p>
    <w:p w14:paraId="1F1BB254" w14:textId="6069D259" w:rsidR="0047598D" w:rsidRPr="0047598D" w:rsidRDefault="0047598D" w:rsidP="0047598D">
      <w:pPr>
        <w:rPr>
          <w:rFonts w:ascii="Calibri" w:hAnsi="Calibri" w:cs="Calibri"/>
          <w:sz w:val="24"/>
          <w:szCs w:val="24"/>
          <w:lang w:val="bs-Latn-BA"/>
        </w:rPr>
      </w:pPr>
      <w:r w:rsidRPr="0047598D">
        <w:rPr>
          <w:rFonts w:ascii="Calibri" w:hAnsi="Calibri" w:cs="Calibri"/>
          <w:sz w:val="24"/>
          <w:szCs w:val="24"/>
          <w:lang w:val="bs-Latn-BA"/>
        </w:rPr>
        <w:t xml:space="preserve">Европска комисија је поздравила потпуно усклађивање БиХ са спољном и безбједносном политиком ЕУ, те усвајање нове Стратегије борбе против корупције, као и напредак везан за  преговоре о споразуму са </w:t>
      </w:r>
      <w:r w:rsidRPr="00A22D40">
        <w:rPr>
          <w:rFonts w:ascii="Calibri" w:hAnsi="Calibri" w:cs="Calibri"/>
          <w:i/>
          <w:iCs/>
          <w:sz w:val="24"/>
          <w:szCs w:val="24"/>
          <w:lang w:val="bs-Latn-BA"/>
        </w:rPr>
        <w:t>Frontex</w:t>
      </w:r>
      <w:r w:rsidRPr="0047598D">
        <w:rPr>
          <w:rFonts w:ascii="Calibri" w:hAnsi="Calibri" w:cs="Calibri"/>
          <w:sz w:val="24"/>
          <w:szCs w:val="24"/>
          <w:lang w:val="bs-Latn-BA"/>
        </w:rPr>
        <w:t xml:space="preserve">-ом. </w:t>
      </w:r>
    </w:p>
    <w:p w14:paraId="0494FDBD" w14:textId="77777777" w:rsidR="0047598D" w:rsidRPr="0047598D" w:rsidRDefault="0047598D" w:rsidP="0047598D">
      <w:pPr>
        <w:autoSpaceDE w:val="0"/>
        <w:autoSpaceDN w:val="0"/>
        <w:adjustRightInd w:val="0"/>
        <w:contextualSpacing/>
        <w:jc w:val="both"/>
        <w:rPr>
          <w:rFonts w:ascii="Calibri" w:hAnsi="Calibri" w:cs="Calibri"/>
          <w:sz w:val="24"/>
          <w:szCs w:val="24"/>
          <w:lang w:val="bs-Latn-BA"/>
        </w:rPr>
      </w:pPr>
    </w:p>
    <w:p w14:paraId="585535F7" w14:textId="77777777" w:rsidR="0047598D" w:rsidRDefault="0047598D" w:rsidP="0047598D">
      <w:pPr>
        <w:autoSpaceDE w:val="0"/>
        <w:autoSpaceDN w:val="0"/>
        <w:adjustRightInd w:val="0"/>
        <w:contextualSpacing/>
        <w:jc w:val="both"/>
        <w:rPr>
          <w:rFonts w:ascii="Calibri" w:hAnsi="Calibri" w:cs="Calibri"/>
          <w:sz w:val="24"/>
          <w:szCs w:val="24"/>
          <w:lang w:val="bs-Latn-BA"/>
        </w:rPr>
      </w:pPr>
      <w:r w:rsidRPr="0047598D">
        <w:rPr>
          <w:rFonts w:ascii="Calibri" w:hAnsi="Calibri" w:cs="Calibri"/>
          <w:sz w:val="24"/>
          <w:szCs w:val="24"/>
          <w:lang w:val="bs-Latn-BA"/>
        </w:rPr>
        <w:t xml:space="preserve">Делегација БиХ информисала је Комисију и о другим предузетим корацима на испуњавању приоритета, а међу којима су усвајање Акционог документа за спровођење пописа пољопривреде, нацрта новог Стратешког плана руралног развоја БиХ и измјена закона о јавним набавкама. </w:t>
      </w:r>
    </w:p>
    <w:p w14:paraId="732F4A12"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r w:rsidRPr="00A22D40">
        <w:rPr>
          <w:rFonts w:ascii="Calibri" w:hAnsi="Calibri" w:cs="Calibri"/>
          <w:sz w:val="24"/>
          <w:szCs w:val="24"/>
          <w:lang w:val="bs-Latn-BA" w:eastAsia="en-GB"/>
        </w:rPr>
        <w:t xml:space="preserve">Потребно је остварити напредак најкасније од објаве новог годишњег извјештаја о БиХ, а  који ће бити прилика Комисији, како за процјену урађеног, тако и за евентуалне кораке ка предлагању усвајања преговарачког оквира са БиХ. </w:t>
      </w:r>
    </w:p>
    <w:p w14:paraId="78397A83"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501DFC09"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r w:rsidRPr="00A22D40">
        <w:rPr>
          <w:rFonts w:ascii="Calibri" w:hAnsi="Calibri" w:cs="Calibri"/>
          <w:sz w:val="24"/>
          <w:szCs w:val="24"/>
          <w:lang w:val="bs-Latn-BA" w:eastAsia="en-GB"/>
        </w:rPr>
        <w:t xml:space="preserve">Европска комисија је као кораке који су кључни за усвајање преговарачког оквира са БиХ означила усвајање новог закона о ВСТВ-у, закона о судовима БиХ те превенцију и јачање борбе против корупције и организованог криминала. </w:t>
      </w:r>
    </w:p>
    <w:p w14:paraId="295AB645"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180F361B" w14:textId="744CF8A3" w:rsidR="00A22D40" w:rsidRPr="00A22D40" w:rsidRDefault="00A22D40" w:rsidP="00A22D40">
      <w:pPr>
        <w:rPr>
          <w:rFonts w:ascii="Calibri" w:hAnsi="Calibri" w:cs="Calibri"/>
          <w:sz w:val="24"/>
          <w:szCs w:val="24"/>
          <w:lang w:val="bs-Latn-BA" w:eastAsia="en-GB"/>
        </w:rPr>
      </w:pPr>
      <w:r w:rsidRPr="00A22D40">
        <w:rPr>
          <w:rFonts w:ascii="Calibri" w:hAnsi="Calibri" w:cs="Calibri"/>
          <w:sz w:val="24"/>
          <w:szCs w:val="24"/>
          <w:lang w:val="bs-Latn-BA" w:eastAsia="en-GB"/>
        </w:rPr>
        <w:t xml:space="preserve">Комисија је позвала на што скорију финализацију Националног програма усвајања acquis-a (НПАА), те успоставу преговарачке структуре и именовање главног преговарача. </w:t>
      </w:r>
    </w:p>
    <w:p w14:paraId="1A9B76C3"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0B1BA61B"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r w:rsidRPr="00A22D40">
        <w:rPr>
          <w:rFonts w:ascii="Calibri" w:hAnsi="Calibri" w:cs="Calibri"/>
          <w:sz w:val="24"/>
          <w:szCs w:val="24"/>
          <w:lang w:val="bs-Latn-BA" w:eastAsia="en-GB"/>
        </w:rPr>
        <w:t xml:space="preserve">Такође, Европска комисија је позвала бх. власти да усвоје закон о граничној контроли и стратегију управљања границом, да измијене изборно законодавство, усвоје </w:t>
      </w:r>
      <w:r w:rsidRPr="00A22D40">
        <w:rPr>
          <w:rFonts w:ascii="Calibri" w:hAnsi="Calibri" w:cs="Calibri"/>
          <w:sz w:val="24"/>
          <w:szCs w:val="24"/>
          <w:lang w:val="bs-Latn-BA" w:eastAsia="en-GB"/>
        </w:rPr>
        <w:lastRenderedPageBreak/>
        <w:t xml:space="preserve">законодавство везано за финансирање странака те да спроведу уставне и изборне реформе, посебно оне везане за </w:t>
      </w:r>
      <w:bookmarkEnd w:id="0"/>
      <w:r w:rsidRPr="00A22D40">
        <w:rPr>
          <w:rFonts w:ascii="Calibri" w:hAnsi="Calibri" w:cs="Calibri"/>
          <w:sz w:val="24"/>
          <w:szCs w:val="24"/>
          <w:lang w:val="bs-Latn-BA" w:eastAsia="en-GB"/>
        </w:rPr>
        <w:t xml:space="preserve">имплементацију пресуда Европског суда за људска права. Надаље власти су позване да преузму власништво и управљање мигрантским центрима те да побољшају функционисање јавне администрације и усвоје акциони план за реформу јавне управе. Комисија је подцртала важност да бх. власти осигурају слободу говора и медија те заштиту новинара. Потребно је, такође, ускладити закон о заштити личних податак са ГДПР уредбом. </w:t>
      </w:r>
    </w:p>
    <w:p w14:paraId="3EC00E42"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68EFD982"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r w:rsidRPr="00A22D40">
        <w:rPr>
          <w:rFonts w:ascii="Calibri" w:hAnsi="Calibri" w:cs="Calibri"/>
          <w:sz w:val="24"/>
          <w:szCs w:val="24"/>
          <w:lang w:val="bs-Latn-BA" w:eastAsia="en-GB"/>
        </w:rPr>
        <w:t xml:space="preserve">Европска комисија очекује да БиХ унаприједи економско и финансијско управљање, а институције су Комисију информисале и о задњим активностима везаним за План реформи. </w:t>
      </w:r>
    </w:p>
    <w:p w14:paraId="547840C5"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245998AA" w14:textId="43101BD9"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r w:rsidRPr="00A22D40">
        <w:rPr>
          <w:rFonts w:ascii="Calibri" w:hAnsi="Calibri" w:cs="Calibri"/>
          <w:sz w:val="24"/>
          <w:szCs w:val="24"/>
          <w:lang w:val="bs-Latn-BA" w:eastAsia="en-GB"/>
        </w:rPr>
        <w:t xml:space="preserve">Европска комисија је, између осталог, позвала на усвајање цјелодржавне стратегије рибарства, цјелодржавне стратегије запошљавана, Гаранција за младе, стратегије развоја науке, стратегије сајбер безбједности итд. Бх. власти су позване на увођење броја за хитне случајеве 112, закона о електронској комуникацији и закона о електронским медијима, те закона о електронској идентификацији и услугама од повјерења у електронском пословању. Бх. власти требају измијенити и законе о конкуренцији и државној помоћи, а како је то препоручено у Мишљењу Европске комисије из 2019. године. Такође, потребно је именовати Државног координатора за ИПА 3. </w:t>
      </w:r>
    </w:p>
    <w:p w14:paraId="1C427618"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3CB9435F"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2A5A6662"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69169364" w14:textId="0537A70C"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r>
        <w:rPr>
          <w:rFonts w:ascii="Calibri" w:hAnsi="Calibri" w:cs="Calibri"/>
          <w:sz w:val="24"/>
          <w:szCs w:val="24"/>
          <w:lang w:val="bs-Latn-BA" w:eastAsia="en-GB"/>
        </w:rPr>
        <w:t xml:space="preserve">                                                                                           </w:t>
      </w:r>
      <w:r w:rsidRPr="00A22D40">
        <w:rPr>
          <w:rFonts w:ascii="Calibri" w:hAnsi="Calibri" w:cs="Calibri"/>
          <w:sz w:val="24"/>
          <w:szCs w:val="24"/>
          <w:lang w:val="bs-Latn-BA" w:eastAsia="en-GB"/>
        </w:rPr>
        <w:t>Дирекција за европске интеграције</w:t>
      </w:r>
    </w:p>
    <w:p w14:paraId="222162B5"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75D48B7F" w14:textId="77777777" w:rsidR="00A22D40" w:rsidRPr="00A22D40" w:rsidRDefault="00A22D40" w:rsidP="00A22D40">
      <w:pPr>
        <w:autoSpaceDE w:val="0"/>
        <w:autoSpaceDN w:val="0"/>
        <w:adjustRightInd w:val="0"/>
        <w:contextualSpacing/>
        <w:jc w:val="both"/>
        <w:rPr>
          <w:rFonts w:ascii="Calibri" w:hAnsi="Calibri" w:cs="Calibri"/>
          <w:sz w:val="24"/>
          <w:szCs w:val="24"/>
          <w:lang w:val="bs-Latn-BA" w:eastAsia="en-GB"/>
        </w:rPr>
      </w:pPr>
    </w:p>
    <w:p w14:paraId="63EE32C0" w14:textId="75F88DDB" w:rsidR="0047598D" w:rsidRDefault="0047598D" w:rsidP="00A22D40">
      <w:pPr>
        <w:autoSpaceDE w:val="0"/>
        <w:autoSpaceDN w:val="0"/>
        <w:adjustRightInd w:val="0"/>
        <w:contextualSpacing/>
        <w:jc w:val="both"/>
      </w:pPr>
    </w:p>
    <w:sectPr w:rsidR="0047598D" w:rsidSect="00F90725">
      <w:footerReference w:type="default" r:id="rId9"/>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D455" w14:textId="77777777" w:rsidR="000E162F" w:rsidRDefault="000E162F">
      <w:r>
        <w:separator/>
      </w:r>
    </w:p>
  </w:endnote>
  <w:endnote w:type="continuationSeparator" w:id="0">
    <w:p w14:paraId="6D6FFC72" w14:textId="77777777" w:rsidR="000E162F" w:rsidRDefault="000E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9A80" w14:textId="77777777" w:rsidR="00D74DE4" w:rsidRDefault="00D74DE4" w:rsidP="00665FF5">
    <w:pPr>
      <w:spacing w:line="200" w:lineRule="exact"/>
      <w:jc w:val="center"/>
    </w:pPr>
  </w:p>
  <w:p w14:paraId="7822EB6D" w14:textId="77777777" w:rsidR="00D74DE4" w:rsidRDefault="00000000" w:rsidP="00665FF5">
    <w:pPr>
      <w:spacing w:before="36"/>
      <w:ind w:left="580" w:right="458"/>
      <w:jc w:val="center"/>
      <w:rPr>
        <w:sz w:val="18"/>
        <w:szCs w:val="18"/>
      </w:rPr>
    </w:pPr>
    <w:proofErr w:type="spellStart"/>
    <w:r>
      <w:rPr>
        <w:spacing w:val="-2"/>
        <w:sz w:val="18"/>
        <w:szCs w:val="18"/>
      </w:rPr>
      <w:t>Đoke</w:t>
    </w:r>
    <w:proofErr w:type="spellEnd"/>
    <w:r>
      <w:rPr>
        <w:spacing w:val="-2"/>
        <w:sz w:val="18"/>
        <w:szCs w:val="18"/>
      </w:rPr>
      <w:t xml:space="preserve"> </w:t>
    </w:r>
    <w:proofErr w:type="spellStart"/>
    <w:r>
      <w:rPr>
        <w:spacing w:val="-2"/>
        <w:sz w:val="18"/>
        <w:szCs w:val="18"/>
      </w:rPr>
      <w:t>Mazalića</w:t>
    </w:r>
    <w:proofErr w:type="spellEnd"/>
    <w:r>
      <w:rPr>
        <w:spacing w:val="-2"/>
        <w:sz w:val="18"/>
        <w:szCs w:val="18"/>
      </w:rPr>
      <w:t xml:space="preserve"> 5</w:t>
    </w:r>
    <w:r>
      <w:rPr>
        <w:sz w:val="18"/>
        <w:szCs w:val="18"/>
      </w:rPr>
      <w:t>,</w:t>
    </w:r>
    <w:r>
      <w:rPr>
        <w:spacing w:val="1"/>
        <w:sz w:val="18"/>
        <w:szCs w:val="18"/>
      </w:rPr>
      <w:t xml:space="preserve"> 7</w:t>
    </w:r>
    <w:r>
      <w:rPr>
        <w:spacing w:val="-1"/>
        <w:sz w:val="18"/>
        <w:szCs w:val="18"/>
      </w:rPr>
      <w:t>1</w:t>
    </w:r>
    <w:r>
      <w:rPr>
        <w:spacing w:val="1"/>
        <w:sz w:val="18"/>
        <w:szCs w:val="18"/>
      </w:rPr>
      <w:t>0</w:t>
    </w:r>
    <w:r>
      <w:rPr>
        <w:spacing w:val="-1"/>
        <w:sz w:val="18"/>
        <w:szCs w:val="18"/>
      </w:rPr>
      <w:t>0</w:t>
    </w:r>
    <w:r>
      <w:rPr>
        <w:sz w:val="18"/>
        <w:szCs w:val="18"/>
      </w:rPr>
      <w:t>0</w:t>
    </w:r>
    <w:r>
      <w:rPr>
        <w:spacing w:val="-1"/>
        <w:sz w:val="18"/>
        <w:szCs w:val="18"/>
      </w:rPr>
      <w:t xml:space="preserve"> </w:t>
    </w:r>
    <w:r>
      <w:rPr>
        <w:spacing w:val="1"/>
        <w:sz w:val="18"/>
        <w:szCs w:val="18"/>
      </w:rPr>
      <w:t>S</w:t>
    </w:r>
    <w:r>
      <w:rPr>
        <w:spacing w:val="-1"/>
        <w:sz w:val="18"/>
        <w:szCs w:val="18"/>
      </w:rPr>
      <w:t>a</w:t>
    </w:r>
    <w:r>
      <w:rPr>
        <w:sz w:val="18"/>
        <w:szCs w:val="18"/>
      </w:rPr>
      <w:t>r</w:t>
    </w:r>
    <w:r>
      <w:rPr>
        <w:spacing w:val="-1"/>
        <w:sz w:val="18"/>
        <w:szCs w:val="18"/>
      </w:rPr>
      <w:t>a</w:t>
    </w:r>
    <w:r>
      <w:rPr>
        <w:sz w:val="18"/>
        <w:szCs w:val="18"/>
      </w:rPr>
      <w:t>je</w:t>
    </w:r>
    <w:r>
      <w:rPr>
        <w:spacing w:val="-2"/>
        <w:sz w:val="18"/>
        <w:szCs w:val="18"/>
      </w:rPr>
      <w:t>v</w:t>
    </w:r>
    <w:r>
      <w:rPr>
        <w:spacing w:val="1"/>
        <w:sz w:val="18"/>
        <w:szCs w:val="18"/>
      </w:rPr>
      <w:t>o</w:t>
    </w:r>
    <w:r>
      <w:rPr>
        <w:sz w:val="18"/>
        <w:szCs w:val="18"/>
      </w:rPr>
      <w:t>,</w:t>
    </w:r>
    <w:r>
      <w:rPr>
        <w:spacing w:val="1"/>
        <w:sz w:val="18"/>
        <w:szCs w:val="18"/>
      </w:rPr>
      <w:t xml:space="preserve"> </w:t>
    </w:r>
    <w:proofErr w:type="spellStart"/>
    <w:r>
      <w:rPr>
        <w:sz w:val="18"/>
        <w:szCs w:val="18"/>
      </w:rPr>
      <w:t>tel</w:t>
    </w:r>
    <w:proofErr w:type="spellEnd"/>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3 255 315,</w:t>
    </w:r>
    <w:r>
      <w:rPr>
        <w:spacing w:val="-1"/>
        <w:sz w:val="18"/>
        <w:szCs w:val="18"/>
      </w:rPr>
      <w:t xml:space="preserve"> </w:t>
    </w:r>
    <w:r>
      <w:rPr>
        <w:spacing w:val="-2"/>
        <w:sz w:val="18"/>
        <w:szCs w:val="18"/>
      </w:rPr>
      <w:t>f</w:t>
    </w:r>
    <w:r>
      <w:rPr>
        <w:spacing w:val="-1"/>
        <w:sz w:val="18"/>
        <w:szCs w:val="18"/>
      </w:rPr>
      <w:t>ax</w:t>
    </w:r>
    <w:r>
      <w:rPr>
        <w:sz w:val="18"/>
        <w:szCs w:val="18"/>
      </w:rPr>
      <w:t>:</w:t>
    </w:r>
    <w:r>
      <w:rPr>
        <w:spacing w:val="1"/>
        <w:sz w:val="18"/>
        <w:szCs w:val="18"/>
      </w:rPr>
      <w:t xml:space="preserve"> </w:t>
    </w:r>
    <w:r>
      <w:rPr>
        <w:spacing w:val="-1"/>
        <w:sz w:val="18"/>
        <w:szCs w:val="18"/>
      </w:rPr>
      <w:t>+</w:t>
    </w:r>
    <w:r>
      <w:rPr>
        <w:spacing w:val="1"/>
        <w:sz w:val="18"/>
        <w:szCs w:val="18"/>
      </w:rPr>
      <w:t>38</w:t>
    </w:r>
    <w:r>
      <w:rPr>
        <w:sz w:val="18"/>
        <w:szCs w:val="18"/>
      </w:rPr>
      <w:t>7</w:t>
    </w:r>
    <w:r>
      <w:rPr>
        <w:spacing w:val="1"/>
        <w:sz w:val="18"/>
        <w:szCs w:val="18"/>
      </w:rPr>
      <w:t xml:space="preserve"> </w:t>
    </w:r>
    <w:r>
      <w:rPr>
        <w:spacing w:val="-1"/>
        <w:sz w:val="18"/>
        <w:szCs w:val="18"/>
      </w:rPr>
      <w:t>3</w:t>
    </w:r>
    <w:r>
      <w:rPr>
        <w:sz w:val="18"/>
        <w:szCs w:val="18"/>
      </w:rPr>
      <w:t>3</w:t>
    </w:r>
    <w:r>
      <w:rPr>
        <w:spacing w:val="1"/>
        <w:sz w:val="18"/>
        <w:szCs w:val="18"/>
      </w:rPr>
      <w:t xml:space="preserve"> 255 </w:t>
    </w:r>
    <w:r>
      <w:rPr>
        <w:spacing w:val="-1"/>
        <w:sz w:val="18"/>
        <w:szCs w:val="18"/>
      </w:rPr>
      <w:t>317</w:t>
    </w:r>
    <w:r>
      <w:rPr>
        <w:sz w:val="18"/>
        <w:szCs w:val="18"/>
      </w:rPr>
      <w:t>;</w:t>
    </w:r>
    <w:r>
      <w:rPr>
        <w:spacing w:val="-2"/>
        <w:sz w:val="18"/>
        <w:szCs w:val="18"/>
      </w:rPr>
      <w:t xml:space="preserve"> </w:t>
    </w:r>
    <w:hyperlink r:id="rId1">
      <w:r>
        <w:rPr>
          <w:spacing w:val="1"/>
          <w:sz w:val="18"/>
          <w:szCs w:val="18"/>
        </w:rPr>
        <w:t>h</w:t>
      </w:r>
      <w:r>
        <w:rPr>
          <w:spacing w:val="-2"/>
          <w:sz w:val="18"/>
          <w:szCs w:val="18"/>
        </w:rPr>
        <w:t>t</w:t>
      </w:r>
      <w:r>
        <w:rPr>
          <w:sz w:val="18"/>
          <w:szCs w:val="18"/>
        </w:rPr>
        <w:t>t</w:t>
      </w:r>
      <w:r>
        <w:rPr>
          <w:spacing w:val="-1"/>
          <w:sz w:val="18"/>
          <w:szCs w:val="18"/>
        </w:rPr>
        <w:t>p</w:t>
      </w:r>
      <w:r>
        <w:rPr>
          <w:sz w:val="18"/>
          <w:szCs w:val="18"/>
        </w:rPr>
        <w:t>:</w:t>
      </w:r>
      <w:r>
        <w:rPr>
          <w:spacing w:val="1"/>
          <w:sz w:val="18"/>
          <w:szCs w:val="18"/>
        </w:rPr>
        <w:t>/</w:t>
      </w:r>
      <w:r>
        <w:rPr>
          <w:sz w:val="18"/>
          <w:szCs w:val="18"/>
        </w:rPr>
        <w:t>/ww</w:t>
      </w:r>
      <w:r>
        <w:rPr>
          <w:spacing w:val="-3"/>
          <w:sz w:val="18"/>
          <w:szCs w:val="18"/>
        </w:rPr>
        <w:t>w</w:t>
      </w:r>
      <w:r>
        <w:rPr>
          <w:sz w:val="18"/>
          <w:szCs w:val="18"/>
        </w:rPr>
        <w:t>.</w:t>
      </w:r>
      <w:r>
        <w:rPr>
          <w:spacing w:val="1"/>
          <w:sz w:val="18"/>
          <w:szCs w:val="18"/>
        </w:rPr>
        <w:t>d</w:t>
      </w:r>
      <w:r>
        <w:rPr>
          <w:spacing w:val="-1"/>
          <w:sz w:val="18"/>
          <w:szCs w:val="18"/>
        </w:rPr>
        <w:t>e</w:t>
      </w:r>
      <w:r>
        <w:rPr>
          <w:sz w:val="18"/>
          <w:szCs w:val="18"/>
        </w:rPr>
        <w:t>i</w:t>
      </w:r>
      <w:r>
        <w:rPr>
          <w:spacing w:val="1"/>
          <w:sz w:val="18"/>
          <w:szCs w:val="18"/>
        </w:rPr>
        <w:t>.</w:t>
      </w:r>
      <w:r>
        <w:rPr>
          <w:spacing w:val="-1"/>
          <w:sz w:val="18"/>
          <w:szCs w:val="18"/>
        </w:rPr>
        <w:t>g</w:t>
      </w:r>
      <w:r>
        <w:rPr>
          <w:spacing w:val="1"/>
          <w:sz w:val="18"/>
          <w:szCs w:val="18"/>
        </w:rPr>
        <w:t>o</w:t>
      </w:r>
      <w:r>
        <w:rPr>
          <w:spacing w:val="-1"/>
          <w:sz w:val="18"/>
          <w:szCs w:val="18"/>
        </w:rPr>
        <w:t>v</w:t>
      </w:r>
      <w:r>
        <w:rPr>
          <w:sz w:val="18"/>
          <w:szCs w:val="18"/>
        </w:rPr>
        <w:t>.</w:t>
      </w:r>
      <w:r>
        <w:rPr>
          <w:spacing w:val="1"/>
          <w:sz w:val="18"/>
          <w:szCs w:val="18"/>
        </w:rPr>
        <w:t>b</w:t>
      </w:r>
      <w:r>
        <w:rPr>
          <w:sz w:val="18"/>
          <w:szCs w:val="18"/>
        </w:rPr>
        <w:t>a</w:t>
      </w:r>
    </w:hyperlink>
  </w:p>
  <w:p w14:paraId="6EAEA703" w14:textId="77777777" w:rsidR="00D74DE4" w:rsidRPr="00665FF5" w:rsidRDefault="00000000" w:rsidP="00665FF5">
    <w:pPr>
      <w:jc w:val="center"/>
      <w:rPr>
        <w:sz w:val="24"/>
        <w:szCs w:val="24"/>
        <w:lang w:val="sr-Latn-BA"/>
      </w:rPr>
    </w:pPr>
    <w:r>
      <w:rPr>
        <w:spacing w:val="-2"/>
        <w:sz w:val="18"/>
        <w:szCs w:val="18"/>
        <w:lang w:val="sr-Cyrl-BA"/>
      </w:rPr>
      <w:t xml:space="preserve">Ђоке </w:t>
    </w:r>
    <w:proofErr w:type="spellStart"/>
    <w:r>
      <w:rPr>
        <w:spacing w:val="-2"/>
        <w:sz w:val="18"/>
        <w:szCs w:val="18"/>
        <w:lang w:val="sr-Cyrl-BA"/>
      </w:rPr>
      <w:t>Мазалића</w:t>
    </w:r>
    <w:proofErr w:type="spellEnd"/>
    <w:r>
      <w:rPr>
        <w:spacing w:val="-2"/>
        <w:sz w:val="18"/>
        <w:szCs w:val="18"/>
        <w:lang w:val="sr-Cyrl-BA"/>
      </w:rPr>
      <w:t xml:space="preserve"> 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7</w:t>
    </w:r>
    <w:r w:rsidRPr="00EC145B">
      <w:rPr>
        <w:spacing w:val="1"/>
        <w:sz w:val="18"/>
        <w:szCs w:val="18"/>
        <w:lang w:val="ru-RU"/>
      </w:rPr>
      <w:t>1</w:t>
    </w:r>
    <w:r w:rsidRPr="00EC145B">
      <w:rPr>
        <w:spacing w:val="-1"/>
        <w:sz w:val="18"/>
        <w:szCs w:val="18"/>
        <w:lang w:val="ru-RU"/>
      </w:rPr>
      <w:t>0</w:t>
    </w:r>
    <w:r w:rsidRPr="00EC145B">
      <w:rPr>
        <w:spacing w:val="1"/>
        <w:sz w:val="18"/>
        <w:szCs w:val="18"/>
        <w:lang w:val="ru-RU"/>
      </w:rPr>
      <w:t>0</w:t>
    </w:r>
    <w:r w:rsidRPr="00EC145B">
      <w:rPr>
        <w:sz w:val="18"/>
        <w:szCs w:val="18"/>
        <w:lang w:val="ru-RU"/>
      </w:rPr>
      <w:t>0</w:t>
    </w:r>
    <w:r w:rsidRPr="00EC145B">
      <w:rPr>
        <w:spacing w:val="1"/>
        <w:sz w:val="18"/>
        <w:szCs w:val="18"/>
        <w:lang w:val="ru-RU"/>
      </w:rPr>
      <w:t xml:space="preserve"> </w:t>
    </w:r>
    <w:r w:rsidRPr="00EC145B">
      <w:rPr>
        <w:sz w:val="18"/>
        <w:szCs w:val="18"/>
        <w:lang w:val="ru-RU"/>
      </w:rPr>
      <w:t>С</w:t>
    </w:r>
    <w:r w:rsidRPr="00EC145B">
      <w:rPr>
        <w:spacing w:val="-1"/>
        <w:sz w:val="18"/>
        <w:szCs w:val="18"/>
        <w:lang w:val="ru-RU"/>
      </w:rPr>
      <w:t>а</w:t>
    </w:r>
    <w:r w:rsidRPr="00EC145B">
      <w:rPr>
        <w:spacing w:val="1"/>
        <w:sz w:val="18"/>
        <w:szCs w:val="18"/>
        <w:lang w:val="ru-RU"/>
      </w:rPr>
      <w:t>р</w:t>
    </w:r>
    <w:r w:rsidRPr="00EC145B">
      <w:rPr>
        <w:spacing w:val="-1"/>
        <w:sz w:val="18"/>
        <w:szCs w:val="18"/>
        <w:lang w:val="ru-RU"/>
      </w:rPr>
      <w:t>а</w:t>
    </w:r>
    <w:r w:rsidRPr="00EC145B">
      <w:rPr>
        <w:sz w:val="18"/>
        <w:szCs w:val="18"/>
        <w:lang w:val="ru-RU"/>
      </w:rPr>
      <w:t>је</w:t>
    </w:r>
    <w:r w:rsidRPr="00EC145B">
      <w:rPr>
        <w:spacing w:val="-1"/>
        <w:sz w:val="18"/>
        <w:szCs w:val="18"/>
        <w:lang w:val="ru-RU"/>
      </w:rPr>
      <w:t>в</w:t>
    </w:r>
    <w:r w:rsidRPr="00EC145B">
      <w:rPr>
        <w:spacing w:val="1"/>
        <w:sz w:val="18"/>
        <w:szCs w:val="18"/>
        <w:lang w:val="ru-RU"/>
      </w:rPr>
      <w:t>о</w:t>
    </w:r>
    <w:r w:rsidRPr="00EC145B">
      <w:rPr>
        <w:sz w:val="18"/>
        <w:szCs w:val="18"/>
        <w:lang w:val="ru-RU"/>
      </w:rPr>
      <w:t>,</w:t>
    </w:r>
    <w:r w:rsidRPr="00EC145B">
      <w:rPr>
        <w:spacing w:val="-1"/>
        <w:sz w:val="18"/>
        <w:szCs w:val="18"/>
        <w:lang w:val="ru-RU"/>
      </w:rPr>
      <w:t xml:space="preserve"> </w:t>
    </w:r>
    <w:r w:rsidRPr="00EC145B">
      <w:rPr>
        <w:sz w:val="18"/>
        <w:szCs w:val="18"/>
        <w:lang w:val="ru-RU"/>
      </w:rPr>
      <w:t>те</w:t>
    </w:r>
    <w:r w:rsidRPr="00EC145B">
      <w:rPr>
        <w:spacing w:val="-1"/>
        <w:sz w:val="18"/>
        <w:szCs w:val="18"/>
        <w:lang w:val="ru-RU"/>
      </w:rPr>
      <w:t>л</w:t>
    </w:r>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5"/>
        <w:sz w:val="18"/>
        <w:szCs w:val="18"/>
        <w:lang w:val="ru-RU"/>
      </w:rPr>
      <w:t xml:space="preserve"> </w:t>
    </w:r>
    <w:r>
      <w:rPr>
        <w:spacing w:val="5"/>
        <w:sz w:val="18"/>
        <w:szCs w:val="18"/>
        <w:lang w:val="sr-Cyrl-BA"/>
      </w:rPr>
      <w:t>255 315</w:t>
    </w:r>
    <w:r w:rsidRPr="00EC145B">
      <w:rPr>
        <w:sz w:val="18"/>
        <w:szCs w:val="18"/>
        <w:lang w:val="ru-RU"/>
      </w:rPr>
      <w:t>,</w:t>
    </w:r>
    <w:r w:rsidRPr="00EC145B">
      <w:rPr>
        <w:spacing w:val="-1"/>
        <w:sz w:val="18"/>
        <w:szCs w:val="18"/>
        <w:lang w:val="ru-RU"/>
      </w:rPr>
      <w:t xml:space="preserve"> </w:t>
    </w:r>
    <w:r w:rsidRPr="00EC145B">
      <w:rPr>
        <w:spacing w:val="1"/>
        <w:sz w:val="18"/>
        <w:szCs w:val="18"/>
        <w:lang w:val="ru-RU"/>
      </w:rPr>
      <w:t>ф</w:t>
    </w:r>
    <w:r w:rsidRPr="00EC145B">
      <w:rPr>
        <w:spacing w:val="-1"/>
        <w:sz w:val="18"/>
        <w:szCs w:val="18"/>
        <w:lang w:val="ru-RU"/>
      </w:rPr>
      <w:t>а</w:t>
    </w:r>
    <w:proofErr w:type="spellStart"/>
    <w:r>
      <w:rPr>
        <w:spacing w:val="-1"/>
        <w:sz w:val="18"/>
        <w:szCs w:val="18"/>
        <w:lang w:val="sr-Cyrl-BA"/>
      </w:rPr>
      <w:t>кс</w:t>
    </w:r>
    <w:proofErr w:type="spellEnd"/>
    <w:r w:rsidRPr="00EC145B">
      <w:rPr>
        <w:sz w:val="18"/>
        <w:szCs w:val="18"/>
        <w:lang w:val="ru-RU"/>
      </w:rPr>
      <w:t>:</w:t>
    </w:r>
    <w:r w:rsidRPr="00EC145B">
      <w:rPr>
        <w:spacing w:val="1"/>
        <w:sz w:val="18"/>
        <w:szCs w:val="18"/>
        <w:lang w:val="ru-RU"/>
      </w:rPr>
      <w:t xml:space="preserve"> </w:t>
    </w:r>
    <w:r w:rsidRPr="00EC145B">
      <w:rPr>
        <w:spacing w:val="-1"/>
        <w:sz w:val="18"/>
        <w:szCs w:val="18"/>
        <w:lang w:val="ru-RU"/>
      </w:rPr>
      <w:t>+</w:t>
    </w:r>
    <w:r w:rsidRPr="00EC145B">
      <w:rPr>
        <w:spacing w:val="1"/>
        <w:sz w:val="18"/>
        <w:szCs w:val="18"/>
        <w:lang w:val="ru-RU"/>
      </w:rPr>
      <w:t>3</w:t>
    </w:r>
    <w:r w:rsidRPr="00EC145B">
      <w:rPr>
        <w:spacing w:val="-1"/>
        <w:sz w:val="18"/>
        <w:szCs w:val="18"/>
        <w:lang w:val="ru-RU"/>
      </w:rPr>
      <w:t>8</w:t>
    </w:r>
    <w:r w:rsidRPr="00EC145B">
      <w:rPr>
        <w:sz w:val="18"/>
        <w:szCs w:val="18"/>
        <w:lang w:val="ru-RU"/>
      </w:rPr>
      <w:t>7</w:t>
    </w:r>
    <w:r w:rsidRPr="00EC145B">
      <w:rPr>
        <w:spacing w:val="1"/>
        <w:sz w:val="18"/>
        <w:szCs w:val="18"/>
        <w:lang w:val="ru-RU"/>
      </w:rPr>
      <w:t xml:space="preserve"> </w:t>
    </w:r>
    <w:r w:rsidRPr="00EC145B">
      <w:rPr>
        <w:spacing w:val="-1"/>
        <w:sz w:val="18"/>
        <w:szCs w:val="18"/>
        <w:lang w:val="ru-RU"/>
      </w:rPr>
      <w:t>3</w:t>
    </w:r>
    <w:r w:rsidRPr="00EC145B">
      <w:rPr>
        <w:sz w:val="18"/>
        <w:szCs w:val="18"/>
        <w:lang w:val="ru-RU"/>
      </w:rPr>
      <w:t>3</w:t>
    </w:r>
    <w:r w:rsidRPr="00EC145B">
      <w:rPr>
        <w:spacing w:val="1"/>
        <w:sz w:val="18"/>
        <w:szCs w:val="18"/>
        <w:lang w:val="ru-RU"/>
      </w:rPr>
      <w:t xml:space="preserve"> 2</w:t>
    </w:r>
    <w:r>
      <w:rPr>
        <w:spacing w:val="1"/>
        <w:sz w:val="18"/>
        <w:szCs w:val="18"/>
        <w:lang w:val="sr-Cyrl-BA"/>
      </w:rPr>
      <w:t>55 317</w:t>
    </w:r>
    <w:r w:rsidRPr="00EC145B">
      <w:rPr>
        <w:sz w:val="18"/>
        <w:szCs w:val="18"/>
        <w:lang w:val="ru-RU"/>
      </w:rPr>
      <w:t>;</w:t>
    </w:r>
    <w:r w:rsidRPr="00EC145B">
      <w:rPr>
        <w:spacing w:val="1"/>
        <w:sz w:val="18"/>
        <w:szCs w:val="18"/>
        <w:lang w:val="ru-RU"/>
      </w:rPr>
      <w:t xml:space="preserve"> </w:t>
    </w:r>
    <w:hyperlink r:id="rId2">
      <w:r>
        <w:rPr>
          <w:spacing w:val="1"/>
          <w:sz w:val="18"/>
          <w:szCs w:val="18"/>
        </w:rPr>
        <w:t>h</w:t>
      </w:r>
      <w:r>
        <w:rPr>
          <w:sz w:val="18"/>
          <w:szCs w:val="18"/>
        </w:rPr>
        <w:t>t</w:t>
      </w:r>
      <w:r>
        <w:rPr>
          <w:spacing w:val="-2"/>
          <w:sz w:val="18"/>
          <w:szCs w:val="18"/>
        </w:rPr>
        <w:t>t</w:t>
      </w:r>
      <w:r>
        <w:rPr>
          <w:spacing w:val="1"/>
          <w:sz w:val="18"/>
          <w:szCs w:val="18"/>
        </w:rPr>
        <w:t>p</w:t>
      </w:r>
      <w:r w:rsidRPr="00EC145B">
        <w:rPr>
          <w:sz w:val="18"/>
          <w:szCs w:val="18"/>
          <w:lang w:val="ru-RU"/>
        </w:rPr>
        <w:t>:</w:t>
      </w:r>
      <w:r w:rsidRPr="00EC145B">
        <w:rPr>
          <w:spacing w:val="1"/>
          <w:sz w:val="18"/>
          <w:szCs w:val="18"/>
          <w:lang w:val="ru-RU"/>
        </w:rPr>
        <w:t>/</w:t>
      </w:r>
      <w:r w:rsidRPr="00EC145B">
        <w:rPr>
          <w:sz w:val="18"/>
          <w:szCs w:val="18"/>
          <w:lang w:val="ru-RU"/>
        </w:rPr>
        <w:t>/</w:t>
      </w:r>
      <w:r>
        <w:rPr>
          <w:spacing w:val="-2"/>
          <w:sz w:val="18"/>
          <w:szCs w:val="18"/>
        </w:rPr>
        <w:t>w</w:t>
      </w:r>
      <w:r>
        <w:rPr>
          <w:sz w:val="18"/>
          <w:szCs w:val="18"/>
        </w:rPr>
        <w:t>w</w:t>
      </w:r>
      <w:r>
        <w:rPr>
          <w:spacing w:val="-3"/>
          <w:sz w:val="18"/>
          <w:szCs w:val="18"/>
        </w:rPr>
        <w:t>w</w:t>
      </w:r>
      <w:r w:rsidRPr="00EC145B">
        <w:rPr>
          <w:sz w:val="18"/>
          <w:szCs w:val="18"/>
          <w:lang w:val="ru-RU"/>
        </w:rPr>
        <w:t>.</w:t>
      </w:r>
      <w:proofErr w:type="spellStart"/>
      <w:r>
        <w:rPr>
          <w:spacing w:val="1"/>
          <w:sz w:val="18"/>
          <w:szCs w:val="18"/>
        </w:rPr>
        <w:t>d</w:t>
      </w:r>
      <w:r>
        <w:rPr>
          <w:spacing w:val="-1"/>
          <w:sz w:val="18"/>
          <w:szCs w:val="18"/>
        </w:rPr>
        <w:t>e</w:t>
      </w:r>
      <w:r>
        <w:rPr>
          <w:sz w:val="18"/>
          <w:szCs w:val="18"/>
        </w:rPr>
        <w:t>i</w:t>
      </w:r>
      <w:proofErr w:type="spellEnd"/>
      <w:r w:rsidRPr="00EC145B">
        <w:rPr>
          <w:spacing w:val="1"/>
          <w:sz w:val="18"/>
          <w:szCs w:val="18"/>
          <w:lang w:val="ru-RU"/>
        </w:rPr>
        <w:t>.</w:t>
      </w:r>
      <w:r>
        <w:rPr>
          <w:spacing w:val="-1"/>
          <w:sz w:val="18"/>
          <w:szCs w:val="18"/>
        </w:rPr>
        <w:t>g</w:t>
      </w:r>
      <w:r>
        <w:rPr>
          <w:spacing w:val="1"/>
          <w:sz w:val="18"/>
          <w:szCs w:val="18"/>
        </w:rPr>
        <w:t>o</w:t>
      </w:r>
      <w:r>
        <w:rPr>
          <w:spacing w:val="-1"/>
          <w:sz w:val="18"/>
          <w:szCs w:val="18"/>
        </w:rPr>
        <w:t>v</w:t>
      </w:r>
      <w:r w:rsidRPr="00EC145B">
        <w:rPr>
          <w:sz w:val="18"/>
          <w:szCs w:val="18"/>
          <w:lang w:val="ru-RU"/>
        </w:rPr>
        <w:t>.</w:t>
      </w:r>
      <w:proofErr w:type="spellStart"/>
      <w:r>
        <w:rPr>
          <w:spacing w:val="1"/>
          <w:sz w:val="18"/>
          <w:szCs w:val="18"/>
        </w:rPr>
        <w:t>b</w:t>
      </w:r>
      <w:r>
        <w:rPr>
          <w:sz w:val="18"/>
          <w:szCs w:val="18"/>
        </w:rPr>
        <w:t>a</w:t>
      </w:r>
      <w:proofErr w:type="spellEnd"/>
    </w:hyperlink>
  </w:p>
  <w:p w14:paraId="3D4A0604" w14:textId="77777777" w:rsidR="00D74DE4" w:rsidRPr="00AE7681" w:rsidRDefault="00D74DE4">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F18C" w14:textId="77777777" w:rsidR="000E162F" w:rsidRDefault="000E162F">
      <w:r>
        <w:separator/>
      </w:r>
    </w:p>
  </w:footnote>
  <w:footnote w:type="continuationSeparator" w:id="0">
    <w:p w14:paraId="3BA46544" w14:textId="77777777" w:rsidR="000E162F" w:rsidRDefault="000E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25"/>
    <w:rsid w:val="000516DA"/>
    <w:rsid w:val="00090AB7"/>
    <w:rsid w:val="000C38C5"/>
    <w:rsid w:val="000E162F"/>
    <w:rsid w:val="000E192F"/>
    <w:rsid w:val="00102653"/>
    <w:rsid w:val="00166243"/>
    <w:rsid w:val="001E2C62"/>
    <w:rsid w:val="00355D17"/>
    <w:rsid w:val="003F4BB4"/>
    <w:rsid w:val="0047598D"/>
    <w:rsid w:val="004E5581"/>
    <w:rsid w:val="00535EAB"/>
    <w:rsid w:val="005378C0"/>
    <w:rsid w:val="00595752"/>
    <w:rsid w:val="00601A56"/>
    <w:rsid w:val="00641A80"/>
    <w:rsid w:val="00652A96"/>
    <w:rsid w:val="00675891"/>
    <w:rsid w:val="006768F7"/>
    <w:rsid w:val="00727AB0"/>
    <w:rsid w:val="007B7EED"/>
    <w:rsid w:val="00924F05"/>
    <w:rsid w:val="00931000"/>
    <w:rsid w:val="009714B2"/>
    <w:rsid w:val="00A03CBF"/>
    <w:rsid w:val="00A22D40"/>
    <w:rsid w:val="00A66F47"/>
    <w:rsid w:val="00AC2B02"/>
    <w:rsid w:val="00AE50F3"/>
    <w:rsid w:val="00B33FD5"/>
    <w:rsid w:val="00B53CAE"/>
    <w:rsid w:val="00CC4252"/>
    <w:rsid w:val="00D379B3"/>
    <w:rsid w:val="00D74DE4"/>
    <w:rsid w:val="00F90725"/>
    <w:rsid w:val="00FC5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00F5"/>
  <w15:chartTrackingRefBased/>
  <w15:docId w15:val="{BDEC6AD9-6F0E-46FC-BEFC-5959DC45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2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9072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9072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9072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9072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F9072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F9072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F9072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F9072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F9072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725"/>
    <w:rPr>
      <w:rFonts w:eastAsiaTheme="majorEastAsia" w:cstheme="majorBidi"/>
      <w:color w:val="272727" w:themeColor="text1" w:themeTint="D8"/>
    </w:rPr>
  </w:style>
  <w:style w:type="paragraph" w:styleId="Title">
    <w:name w:val="Title"/>
    <w:basedOn w:val="Normal"/>
    <w:next w:val="Normal"/>
    <w:link w:val="TitleChar"/>
    <w:uiPriority w:val="10"/>
    <w:qFormat/>
    <w:rsid w:val="00F90725"/>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90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72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90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72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F90725"/>
    <w:rPr>
      <w:i/>
      <w:iCs/>
      <w:color w:val="404040" w:themeColor="text1" w:themeTint="BF"/>
    </w:rPr>
  </w:style>
  <w:style w:type="paragraph" w:styleId="ListParagraph">
    <w:name w:val="List Paragraph"/>
    <w:basedOn w:val="Normal"/>
    <w:uiPriority w:val="34"/>
    <w:qFormat/>
    <w:rsid w:val="00F90725"/>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character" w:styleId="IntenseEmphasis">
    <w:name w:val="Intense Emphasis"/>
    <w:basedOn w:val="DefaultParagraphFont"/>
    <w:uiPriority w:val="21"/>
    <w:qFormat/>
    <w:rsid w:val="00F90725"/>
    <w:rPr>
      <w:i/>
      <w:iCs/>
      <w:color w:val="0F4761" w:themeColor="accent1" w:themeShade="BF"/>
    </w:rPr>
  </w:style>
  <w:style w:type="paragraph" w:styleId="IntenseQuote">
    <w:name w:val="Intense Quote"/>
    <w:basedOn w:val="Normal"/>
    <w:next w:val="Normal"/>
    <w:link w:val="IntenseQuoteChar"/>
    <w:uiPriority w:val="30"/>
    <w:qFormat/>
    <w:rsid w:val="00F9072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F90725"/>
    <w:rPr>
      <w:i/>
      <w:iCs/>
      <w:color w:val="0F4761" w:themeColor="accent1" w:themeShade="BF"/>
    </w:rPr>
  </w:style>
  <w:style w:type="character" w:styleId="IntenseReference">
    <w:name w:val="Intense Reference"/>
    <w:basedOn w:val="DefaultParagraphFont"/>
    <w:uiPriority w:val="32"/>
    <w:qFormat/>
    <w:rsid w:val="00F90725"/>
    <w:rPr>
      <w:b/>
      <w:bCs/>
      <w:smallCaps/>
      <w:color w:val="0F4761" w:themeColor="accent1" w:themeShade="BF"/>
      <w:spacing w:val="5"/>
    </w:rPr>
  </w:style>
  <w:style w:type="paragraph" w:styleId="NormalIndent">
    <w:name w:val="Normal Indent"/>
    <w:basedOn w:val="Normal"/>
    <w:rsid w:val="00F90725"/>
    <w:pPr>
      <w:ind w:left="720"/>
    </w:pPr>
    <w:rPr>
      <w:sz w:val="24"/>
      <w:szCs w:val="24"/>
      <w:lang w:val="hr-HR" w:eastAsia="hr-HR"/>
    </w:rPr>
  </w:style>
  <w:style w:type="paragraph" w:styleId="Footer">
    <w:name w:val="footer"/>
    <w:basedOn w:val="Normal"/>
    <w:link w:val="FooterChar"/>
    <w:uiPriority w:val="99"/>
    <w:unhideWhenUsed/>
    <w:rsid w:val="00F90725"/>
    <w:pPr>
      <w:tabs>
        <w:tab w:val="center" w:pos="4536"/>
        <w:tab w:val="right" w:pos="9072"/>
      </w:tabs>
    </w:pPr>
  </w:style>
  <w:style w:type="character" w:customStyle="1" w:styleId="FooterChar">
    <w:name w:val="Footer Char"/>
    <w:basedOn w:val="DefaultParagraphFont"/>
    <w:link w:val="Footer"/>
    <w:uiPriority w:val="99"/>
    <w:rsid w:val="00F90725"/>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F25A-3E4C-48CC-ABE4-6101E1EA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Mijatović</dc:creator>
  <cp:keywords/>
  <dc:description/>
  <cp:lastModifiedBy>Suzana Mijatović</cp:lastModifiedBy>
  <cp:revision>2</cp:revision>
  <dcterms:created xsi:type="dcterms:W3CDTF">2024-09-19T15:50:00Z</dcterms:created>
  <dcterms:modified xsi:type="dcterms:W3CDTF">2024-09-19T15:50:00Z</dcterms:modified>
</cp:coreProperties>
</file>