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mnatabelareetke5-isticanje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68"/>
        <w:gridCol w:w="10782"/>
      </w:tblGrid>
      <w:tr w:rsidR="001471F3" w:rsidRPr="00D40C38" w14:paraId="6BC8E71F" w14:textId="77777777" w:rsidTr="003F0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134044C0" w14:textId="77777777" w:rsidR="001471F3" w:rsidRPr="00D40C38" w:rsidRDefault="001471F3" w:rsidP="003F0F56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>Naziv</w:t>
            </w:r>
            <w:proofErr w:type="spellEnd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239A26A2" w14:textId="5F725F19" w:rsidR="001471F3" w:rsidRPr="00D40C38" w:rsidRDefault="001F7CD7" w:rsidP="001F7CD7">
            <w:pPr>
              <w:spacing w:after="0" w:line="240" w:lineRule="auto"/>
              <w:ind w:left="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de-DE"/>
              </w:rPr>
            </w:pPr>
            <w:r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 xml:space="preserve">d) </w:t>
            </w:r>
            <w:r w:rsidR="001471F3" w:rsidRPr="00D40C38">
              <w:rPr>
                <w:rFonts w:ascii="Cambria" w:hAnsi="Cambria"/>
                <w:color w:val="auto"/>
                <w:sz w:val="28"/>
                <w:szCs w:val="28"/>
                <w:lang w:val="de-DE"/>
              </w:rPr>
              <w:t>STRATEŠKO PLANIRANJE U KONTEKSTU PROGRAMIRANJA PRETPRISTUPNE POMOĆI EVROPSKE UNIJE</w:t>
            </w:r>
          </w:p>
        </w:tc>
      </w:tr>
      <w:tr w:rsidR="001471F3" w:rsidRPr="00D40C38" w14:paraId="45EFD2F2" w14:textId="77777777" w:rsidTr="003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7B0A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de-DE"/>
              </w:rPr>
            </w:pPr>
          </w:p>
          <w:p w14:paraId="5817DBF7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de-DE"/>
              </w:rPr>
            </w:pPr>
          </w:p>
          <w:p w14:paraId="265E6873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de-DE"/>
              </w:rPr>
            </w:pPr>
          </w:p>
          <w:p w14:paraId="0ED9D5D4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de-DE"/>
              </w:rPr>
            </w:pPr>
          </w:p>
          <w:p w14:paraId="55ECD585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proofErr w:type="spellStart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>Sadržaj</w:t>
            </w:r>
            <w:proofErr w:type="spellEnd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40C38">
              <w:rPr>
                <w:rFonts w:ascii="Cambria" w:hAnsi="Cambria"/>
                <w:color w:val="auto"/>
                <w:sz w:val="20"/>
                <w:szCs w:val="20"/>
              </w:rPr>
              <w:t>obuke</w:t>
            </w:r>
            <w:proofErr w:type="spellEnd"/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79C82F4C" w14:textId="77777777" w:rsidR="001471F3" w:rsidRPr="001471F3" w:rsidRDefault="001471F3" w:rsidP="001471F3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  <w:t xml:space="preserve">IPA III koncept </w:t>
            </w:r>
            <w:proofErr w:type="spellStart"/>
            <w:r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  <w:t>finansi</w:t>
            </w:r>
            <w:r w:rsidRPr="001471F3"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  <w:t>ranja</w:t>
            </w:r>
            <w:proofErr w:type="spellEnd"/>
            <w:r w:rsidRPr="001471F3"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  <w:t xml:space="preserve"> </w:t>
            </w:r>
          </w:p>
          <w:p w14:paraId="0FCB6A9A" w14:textId="77777777" w:rsidR="001471F3" w:rsidRPr="001471F3" w:rsidRDefault="001471F3" w:rsidP="001471F3">
            <w:pPr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es-ES"/>
              </w:rPr>
            </w:pPr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IPA III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ciljevi</w:t>
            </w:r>
            <w:proofErr w:type="spellEnd"/>
          </w:p>
          <w:p w14:paraId="09C55051" w14:textId="77777777" w:rsidR="001471F3" w:rsidRPr="001471F3" w:rsidRDefault="001471F3" w:rsidP="001471F3">
            <w:pPr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es-ES"/>
              </w:rPr>
            </w:pP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Pretpostavke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za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dobijanje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sredstava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-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usklađenost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između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postignutnutih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rezultata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podjele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sredstava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državama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korisnicama</w:t>
            </w:r>
            <w:proofErr w:type="spellEnd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471F3">
              <w:rPr>
                <w:rFonts w:ascii="Cambria" w:eastAsia="Calibri" w:hAnsi="Cambria" w:cs="Times New Roman"/>
                <w:sz w:val="20"/>
                <w:szCs w:val="20"/>
                <w:lang w:val="es-ES"/>
              </w:rPr>
              <w:t>pomoći</w:t>
            </w:r>
            <w:proofErr w:type="spellEnd"/>
          </w:p>
          <w:p w14:paraId="71A6FA01" w14:textId="77777777" w:rsidR="001471F3" w:rsidRPr="001471F3" w:rsidRDefault="001471F3" w:rsidP="001471F3">
            <w:pPr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de-DE"/>
              </w:rPr>
            </w:pPr>
            <w:r w:rsidRPr="001471F3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Tematski prozori</w:t>
            </w:r>
          </w:p>
          <w:p w14:paraId="2DD1FC9D" w14:textId="77777777" w:rsidR="001471F3" w:rsidRPr="001471F3" w:rsidRDefault="001471F3" w:rsidP="001471F3">
            <w:pPr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</w:pPr>
            <w:r w:rsidRPr="001471F3">
              <w:rPr>
                <w:rFonts w:ascii="Cambria" w:eastAsia="Calibri" w:hAnsi="Cambria" w:cs="Times New Roman"/>
                <w:b/>
                <w:sz w:val="20"/>
                <w:szCs w:val="20"/>
                <w:lang w:val="bs-Latn-BA"/>
              </w:rPr>
              <w:t>Tematski  prioriteti</w:t>
            </w:r>
          </w:p>
          <w:p w14:paraId="6BD4DD70" w14:textId="52B440D6" w:rsidR="001471F3" w:rsidRPr="001471F3" w:rsidRDefault="001471F3" w:rsidP="001471F3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BA" w:eastAsia="hr-BA"/>
              </w:rPr>
            </w:pPr>
            <w:r w:rsidRPr="001471F3">
              <w:rPr>
                <w:rFonts w:ascii="Cambria" w:eastAsia="Calibri" w:hAnsi="Cambria" w:cs="Times New Roman"/>
                <w:sz w:val="20"/>
                <w:szCs w:val="20"/>
                <w:lang w:val="de-DE"/>
              </w:rPr>
              <w:t>Tematski prioriteti i veza s IPA III tematskim prozorima</w:t>
            </w:r>
          </w:p>
          <w:p w14:paraId="603FF9B0" w14:textId="77777777" w:rsidR="001471F3" w:rsidRPr="001471F3" w:rsidRDefault="001471F3" w:rsidP="001471F3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BA" w:eastAsia="hr-BA"/>
              </w:rPr>
            </w:pPr>
            <w:r w:rsidRPr="001471F3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 w:eastAsia="hr-BA"/>
              </w:rPr>
              <w:t>Tematski prioriteti  i veza sa razvojnim potrebama države korisnice pomoći</w:t>
            </w:r>
          </w:p>
          <w:p w14:paraId="115AB347" w14:textId="77777777" w:rsidR="001471F3" w:rsidRPr="001471F3" w:rsidRDefault="001471F3" w:rsidP="001471F3">
            <w:pPr>
              <w:numPr>
                <w:ilvl w:val="0"/>
                <w:numId w:val="1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BA" w:eastAsia="hr-BA"/>
              </w:rPr>
            </w:pPr>
            <w:r w:rsidRPr="001471F3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 w:eastAsia="hr-BA"/>
              </w:rPr>
              <w:t>Način planiranja i programiranje pomoći</w:t>
            </w:r>
            <w:r w:rsidRPr="001471F3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BA"/>
              </w:rPr>
              <w:t xml:space="preserve"> u okviru  tematskih prozora </w:t>
            </w:r>
          </w:p>
          <w:p w14:paraId="5F9C5234" w14:textId="77777777" w:rsidR="001471F3" w:rsidRPr="001471F3" w:rsidRDefault="001471F3" w:rsidP="001471F3">
            <w:pPr>
              <w:numPr>
                <w:ilvl w:val="0"/>
                <w:numId w:val="11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1471F3">
              <w:rPr>
                <w:rFonts w:ascii="Cambria" w:hAnsi="Cambria"/>
                <w:b/>
                <w:sz w:val="20"/>
                <w:szCs w:val="20"/>
                <w:lang w:val="hr-BA" w:eastAsia="hr-BA"/>
              </w:rPr>
              <w:t xml:space="preserve">Strateško planiranje </w:t>
            </w:r>
          </w:p>
          <w:p w14:paraId="0B0A8390" w14:textId="33A675FB" w:rsidR="001471F3" w:rsidRPr="001471F3" w:rsidRDefault="001471F3" w:rsidP="001471F3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 w:rsidRPr="001471F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Tematski prozori i veza s IPA II sektorima –koherentnost sektorskih strategija, trenutne aktivnosti na provedbi ključnih reformi</w:t>
            </w:r>
          </w:p>
          <w:p w14:paraId="2D65E9A8" w14:textId="77777777" w:rsidR="001471F3" w:rsidRPr="001471F3" w:rsidRDefault="001471F3" w:rsidP="001471F3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Identifikacija  problema</w:t>
            </w:r>
            <w:r w:rsidRPr="001471F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 xml:space="preserve"> u vezi sa tematskim prioritetima</w:t>
            </w:r>
          </w:p>
          <w:p w14:paraId="39C18A4E" w14:textId="033DE49D" w:rsidR="001471F3" w:rsidRDefault="001471F3" w:rsidP="001471F3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Formulisanje op</w:t>
            </w:r>
            <w:r w:rsidR="0045028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ćih</w:t>
            </w:r>
            <w:r w:rsidRPr="001471F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 xml:space="preserve"> i specifičnih ciljeva za odabrani tematski prioritet</w:t>
            </w:r>
          </w:p>
          <w:p w14:paraId="50E3959F" w14:textId="2F47BAFC" w:rsidR="001471F3" w:rsidRPr="001471F3" w:rsidRDefault="001471F3" w:rsidP="001471F3">
            <w:pPr>
              <w:numPr>
                <w:ilvl w:val="0"/>
                <w:numId w:val="14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  <w:lang w:val="hr-BA" w:eastAsia="hr-B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Formulisanje</w:t>
            </w:r>
            <w:r w:rsidRPr="001471F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 xml:space="preserve"> i</w:t>
            </w:r>
            <w:r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ndikatora za mjerenje ostv</w:t>
            </w:r>
            <w:r w:rsidR="0045028D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a</w:t>
            </w:r>
            <w:r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>renja</w:t>
            </w:r>
            <w:r w:rsidRPr="001471F3">
              <w:rPr>
                <w:rFonts w:ascii="Cambria" w:hAnsi="Cambria"/>
                <w:color w:val="000000"/>
                <w:sz w:val="20"/>
                <w:szCs w:val="20"/>
                <w:lang w:val="hr-BA" w:eastAsia="hr-BA"/>
              </w:rPr>
              <w:t xml:space="preserve"> cilja.</w:t>
            </w:r>
          </w:p>
        </w:tc>
      </w:tr>
      <w:tr w:rsidR="001471F3" w:rsidRPr="00D40C38" w14:paraId="255DB207" w14:textId="77777777" w:rsidTr="003F0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1C7C741E" w14:textId="77777777" w:rsidR="001471F3" w:rsidRPr="00D40C38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D40C38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Trajanje obuke izraženo brojem akademskih sati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7F7372" w14:textId="77777777" w:rsidR="001471F3" w:rsidRPr="00D40C38" w:rsidRDefault="001471F3" w:rsidP="003F0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4D7CC05E" w14:textId="0D0A267C" w:rsidR="001471F3" w:rsidRPr="00F44BF8" w:rsidRDefault="001471F3" w:rsidP="003F0F56">
            <w:pPr>
              <w:pStyle w:val="Paragrafspiska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de-DE"/>
              </w:rPr>
            </w:pPr>
            <w:r w:rsidRPr="00F44BF8">
              <w:rPr>
                <w:rFonts w:ascii="Cambria" w:eastAsia="Arial Unicode MS" w:hAnsi="Cambria"/>
                <w:sz w:val="20"/>
                <w:szCs w:val="20"/>
                <w:lang w:val="de-DE"/>
              </w:rPr>
              <w:t>Klasična obuka u učionici: 1</w:t>
            </w:r>
            <w:r w:rsidR="000A423A">
              <w:rPr>
                <w:rFonts w:ascii="Cambria" w:eastAsia="Arial Unicode MS" w:hAnsi="Cambria"/>
                <w:sz w:val="20"/>
                <w:szCs w:val="20"/>
                <w:lang w:val="de-DE"/>
              </w:rPr>
              <w:t>6</w:t>
            </w:r>
            <w:r w:rsidRPr="00F44BF8">
              <w:rPr>
                <w:rFonts w:ascii="Cambria" w:eastAsia="Arial Unicode MS" w:hAnsi="Cambria"/>
                <w:sz w:val="20"/>
                <w:szCs w:val="20"/>
                <w:lang w:val="de-DE"/>
              </w:rPr>
              <w:t xml:space="preserve"> akademskih sati</w:t>
            </w:r>
            <w:r w:rsidR="00EF01A2">
              <w:rPr>
                <w:rFonts w:ascii="Cambria" w:eastAsia="Arial Unicode MS" w:hAnsi="Cambria"/>
                <w:sz w:val="20"/>
                <w:szCs w:val="20"/>
                <w:lang w:val="de-DE"/>
              </w:rPr>
              <w:t>, to jest</w:t>
            </w:r>
            <w:r w:rsidRPr="00F44BF8">
              <w:rPr>
                <w:rFonts w:ascii="Cambria" w:hAnsi="Cambria"/>
                <w:lang w:val="de-DE"/>
              </w:rPr>
              <w:t xml:space="preserve"> </w:t>
            </w:r>
            <w:r>
              <w:rPr>
                <w:rFonts w:ascii="Cambria" w:eastAsia="Arial Unicode MS" w:hAnsi="Cambria"/>
                <w:sz w:val="20"/>
                <w:szCs w:val="20"/>
                <w:lang w:val="de-DE"/>
              </w:rPr>
              <w:t>2</w:t>
            </w:r>
            <w:r w:rsidRPr="00F44BF8">
              <w:rPr>
                <w:rFonts w:ascii="Cambria" w:eastAsia="Arial Unicode MS" w:hAnsi="Cambria"/>
                <w:sz w:val="20"/>
                <w:szCs w:val="20"/>
                <w:lang w:val="de-DE"/>
              </w:rPr>
              <w:t xml:space="preserve"> dana po </w:t>
            </w:r>
            <w:r w:rsidR="000A423A">
              <w:rPr>
                <w:rFonts w:ascii="Cambria" w:eastAsia="Arial Unicode MS" w:hAnsi="Cambria"/>
                <w:sz w:val="20"/>
                <w:szCs w:val="20"/>
                <w:lang w:val="de-DE"/>
              </w:rPr>
              <w:t>8</w:t>
            </w:r>
            <w:r w:rsidRPr="00F44BF8">
              <w:rPr>
                <w:rFonts w:ascii="Cambria" w:eastAsia="Arial Unicode MS" w:hAnsi="Cambria"/>
                <w:sz w:val="20"/>
                <w:szCs w:val="20"/>
                <w:lang w:val="de-DE"/>
              </w:rPr>
              <w:t xml:space="preserve"> akademskih sati</w:t>
            </w:r>
          </w:p>
          <w:p w14:paraId="45ECBBFA" w14:textId="77777777" w:rsidR="001471F3" w:rsidRDefault="00EF01A2" w:rsidP="00EF01A2">
            <w:pPr>
              <w:pStyle w:val="Paragrafspiska"/>
              <w:numPr>
                <w:ilvl w:val="0"/>
                <w:numId w:val="1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de-DE"/>
              </w:rPr>
            </w:pPr>
            <w:r>
              <w:rPr>
                <w:rFonts w:ascii="Cambria" w:hAnsi="Cambria"/>
                <w:sz w:val="20"/>
                <w:szCs w:val="20"/>
                <w:lang w:val="de-DE"/>
              </w:rPr>
              <w:t>Webinar: 9 akademskih sati,</w:t>
            </w:r>
            <w:r w:rsidR="001471F3">
              <w:rPr>
                <w:rFonts w:ascii="Cambria" w:hAnsi="Cambria"/>
                <w:sz w:val="20"/>
                <w:szCs w:val="20"/>
                <w:lang w:val="de-DE"/>
              </w:rPr>
              <w:t xml:space="preserve"> </w:t>
            </w:r>
            <w:r w:rsidRPr="00EF01A2">
              <w:rPr>
                <w:rFonts w:ascii="Cambria" w:hAnsi="Cambria"/>
                <w:sz w:val="20"/>
                <w:szCs w:val="20"/>
                <w:lang w:val="de-DE"/>
              </w:rPr>
              <w:t xml:space="preserve">to jest </w:t>
            </w:r>
            <w:r w:rsidR="001471F3">
              <w:rPr>
                <w:rFonts w:ascii="Cambria" w:hAnsi="Cambria"/>
                <w:sz w:val="20"/>
                <w:szCs w:val="20"/>
                <w:lang w:val="de-DE"/>
              </w:rPr>
              <w:t>dva dana po 4,5 akademskih sati</w:t>
            </w:r>
          </w:p>
          <w:p w14:paraId="25F439E4" w14:textId="77777777" w:rsidR="001471F3" w:rsidRPr="00F44BF8" w:rsidRDefault="001471F3" w:rsidP="003F0F56">
            <w:pPr>
              <w:pStyle w:val="Paragrafspis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de-DE"/>
              </w:rPr>
            </w:pPr>
          </w:p>
        </w:tc>
      </w:tr>
      <w:tr w:rsidR="001471F3" w:rsidRPr="0045028D" w14:paraId="03644C5A" w14:textId="77777777" w:rsidTr="003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8373FD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4C05624A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05987F43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4656E0AA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0DF5C3DC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Opis obuke</w:t>
            </w:r>
          </w:p>
          <w:p w14:paraId="28678A31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2D4747" w14:textId="03C290AB" w:rsidR="008A5EEE" w:rsidRPr="0045028D" w:rsidRDefault="008A5EEE" w:rsidP="008A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Instrument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pretpristupne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pomoći 2021-2027</w:t>
            </w:r>
            <w:r w:rsidR="0045028D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.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(IPA III)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predviđa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sposobnost države korisnice pomoći EU da sama pripremi “strateški odgovor”, tj. planski dokument koji bi u skladu sa relevantnim EU regulativama, Strategijom za zapadni Balkan te drugim strateškim dokumentima,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identifikovao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razvojne prioritete države korisnice u okviru definisanih tematskih prozora. Novi instrument nastavlja sa primjenom sektorskog pristupa, korištenjem postojećih IPA II struktura, ukoliko je to primjenjivo, te pretpostavlja postojanje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cjelodržavnih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sektorskih strategija. Stoga je potrebno dalje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unapr</w:t>
            </w:r>
            <w:r w:rsid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ij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eđivati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 razvijati vezu između tematskih prioriteta, odgovarajućih strategija, budžetskih sredstava, tražene EU pomoći i ostvarenih rezultata. Identifikaciju prioriteta u kontekstu programiranja EU potrebno je vezati uz ključne prioritete koji su definisani Strategijom za </w:t>
            </w:r>
            <w:r w:rsid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Z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apadni Balkan i razvojne prioritete neke zemlje. </w:t>
            </w:r>
          </w:p>
          <w:p w14:paraId="0F144198" w14:textId="546C97AD" w:rsidR="008A5EEE" w:rsidRPr="0045028D" w:rsidRDefault="008A5EEE" w:rsidP="008A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Strateško planiranje sastoji se od niza koherentnih aktivnosti i postupaka kojima je cilj postizanje sv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rhovitosti i maksimalnih efekata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ulaganja i utroška sredstava. Programiranje pomoći j</w:t>
            </w:r>
            <w:r w:rsidR="007A5D15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e složeni proces identifikacije prioriteta unutar definisanog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područja (tematskog prozora), odabira vrste aktivnosti, procedura i vremenskih rokova u postupku pripreme i odabira projekata čija realizacija treba doprin</w:t>
            </w:r>
            <w:r w:rsid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i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jeti ostvarivanju ciljeva.</w:t>
            </w:r>
          </w:p>
          <w:p w14:paraId="17250CAF" w14:textId="77777777" w:rsidR="001471F3" w:rsidRPr="0045028D" w:rsidRDefault="008A5EEE" w:rsidP="008A5E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lastRenderedPageBreak/>
              <w:t>Proces programiran</w:t>
            </w:r>
            <w:r w:rsidR="007A5D15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ja IPA III sredstava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usmjeren </w:t>
            </w:r>
            <w:r w:rsidR="007A5D15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je posebno 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na ostvarivanje potrebnih rezultata, u vezi sa procesom pristupanja zemlje korisnice EU.</w:t>
            </w:r>
          </w:p>
        </w:tc>
      </w:tr>
      <w:tr w:rsidR="001471F3" w:rsidRPr="0045028D" w14:paraId="5D8BDCF1" w14:textId="77777777" w:rsidTr="003F0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D1C3B4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3F4DB445" w14:textId="77777777" w:rsidR="007A5D15" w:rsidRPr="0045028D" w:rsidRDefault="007A5D15" w:rsidP="007A5D15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230999C7" w14:textId="77777777" w:rsidR="001471F3" w:rsidRPr="0045028D" w:rsidRDefault="001471F3" w:rsidP="007A5D15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Ciljevi obuke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425D318C" w14:textId="77777777" w:rsidR="007A5D15" w:rsidRPr="0045028D" w:rsidRDefault="007A5D15" w:rsidP="007A5D15">
            <w:pPr>
              <w:pStyle w:val="Paragrafspiska"/>
              <w:numPr>
                <w:ilvl w:val="0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procesom strateškog planiranja i alatima za strateško planiranje, te pripremom planskih i programskih dokumenata za IPA III.</w:t>
            </w:r>
          </w:p>
          <w:p w14:paraId="0C42A1ED" w14:textId="77777777" w:rsidR="007A5D15" w:rsidRPr="0045028D" w:rsidRDefault="007A5D15" w:rsidP="007A5D15">
            <w:pPr>
              <w:pStyle w:val="Paragrafspiska"/>
              <w:numPr>
                <w:ilvl w:val="0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načinom programiranja pomoći EU i procesom strateškog planiranja.</w:t>
            </w:r>
          </w:p>
          <w:p w14:paraId="734AC14F" w14:textId="77777777" w:rsidR="007A5D15" w:rsidRPr="0045028D" w:rsidRDefault="007A5D15" w:rsidP="007A5D15">
            <w:pPr>
              <w:pStyle w:val="Paragrafspiska"/>
              <w:numPr>
                <w:ilvl w:val="0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hijerarhijom dokumenata u procesu planiranja i programiranja IPA III.</w:t>
            </w:r>
          </w:p>
          <w:p w14:paraId="15E6E717" w14:textId="77777777" w:rsidR="007A5D15" w:rsidRPr="0045028D" w:rsidRDefault="007A5D15" w:rsidP="007A5D15">
            <w:pPr>
              <w:pStyle w:val="Paragrafspiska"/>
              <w:numPr>
                <w:ilvl w:val="0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Upoznati polaznike sa vezom između planskih i programskih dokumenata pripremljenih u procesu planiranja i programiranja IPA III. </w:t>
            </w:r>
          </w:p>
          <w:p w14:paraId="563C2CB4" w14:textId="77777777" w:rsidR="001471F3" w:rsidRPr="0045028D" w:rsidRDefault="007A5D15" w:rsidP="007A5D15">
            <w:pPr>
              <w:pStyle w:val="Paragrafspiska"/>
              <w:numPr>
                <w:ilvl w:val="0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Upoznati polaznike sa vezom između međunarodnih strateških dokumenata, domaćih sektorskih strategija i dokumenata proizašlih iz procesa planiranja i programiranja prethodnog instrumenta - IPA II.</w:t>
            </w:r>
          </w:p>
        </w:tc>
      </w:tr>
      <w:tr w:rsidR="001471F3" w:rsidRPr="0045028D" w14:paraId="10569147" w14:textId="77777777" w:rsidTr="003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A7E470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Ciljna grupa polaznika</w:t>
            </w:r>
          </w:p>
          <w:p w14:paraId="18F38331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50FCB4DC" w14:textId="77777777" w:rsidR="001471F3" w:rsidRPr="0045028D" w:rsidRDefault="001471F3" w:rsidP="003F0F56">
            <w:pPr>
              <w:numPr>
                <w:ilvl w:val="0"/>
                <w:numId w:val="6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09B32F65" w14:textId="77777777" w:rsidR="001471F3" w:rsidRPr="0045028D" w:rsidRDefault="001471F3" w:rsidP="003F0F56">
            <w:pPr>
              <w:numPr>
                <w:ilvl w:val="0"/>
                <w:numId w:val="7"/>
              </w:numPr>
              <w:spacing w:after="0"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strateškog planiranja, programiranja, monitoringa i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evaluacije</w:t>
            </w:r>
            <w:proofErr w:type="spellEnd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pomoći EU.</w:t>
            </w:r>
          </w:p>
          <w:p w14:paraId="3A2DF681" w14:textId="7E39409D" w:rsidR="001471F3" w:rsidRPr="0045028D" w:rsidRDefault="001471F3" w:rsidP="003F0F56">
            <w:pPr>
              <w:numPr>
                <w:ilvl w:val="0"/>
                <w:numId w:val="6"/>
              </w:num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Naučni i stručni radnici, studenti dodiplomskih, poslijediplomskih i doktorskih studija u oblasti evropskih integracija, novinari, predstavnici nevladinih organizacija, uposleni u javnim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p</w:t>
            </w:r>
            <w:r w:rsidR="0045028D">
              <w:rPr>
                <w:rFonts w:ascii="Cambria" w:hAnsi="Cambria"/>
                <w:sz w:val="20"/>
                <w:szCs w:val="20"/>
                <w:lang w:val="bs-Latn-BA"/>
              </w:rPr>
              <w:t>re</w:t>
            </w: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duzećima</w:t>
            </w:r>
            <w:proofErr w:type="spellEnd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i nezaposleni.</w:t>
            </w:r>
          </w:p>
        </w:tc>
      </w:tr>
      <w:tr w:rsidR="001471F3" w:rsidRPr="0045028D" w14:paraId="740ECF3E" w14:textId="77777777" w:rsidTr="003F0F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0FFF2C" w14:textId="77777777" w:rsidR="00EE4DFF" w:rsidRPr="0045028D" w:rsidRDefault="00EE4DFF" w:rsidP="00EE4DFF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54BD2588" w14:textId="77777777" w:rsidR="001471F3" w:rsidRPr="0045028D" w:rsidRDefault="001471F3" w:rsidP="00EE4DFF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Ishodi učenja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7755B77B" w14:textId="7570B8D9" w:rsidR="007A5D15" w:rsidRPr="0045028D" w:rsidRDefault="007A5D15" w:rsidP="007A5D15">
            <w:pPr>
              <w:pStyle w:val="Paragrafspisk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razu</w:t>
            </w:r>
            <w:r w:rsidR="00C73BF8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miju novine koje </w:t>
            </w:r>
            <w:proofErr w:type="spellStart"/>
            <w:r w:rsidR="00C73BF8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karakterišu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IPA III te novi način planiranja i programiranja EU pomoći.</w:t>
            </w:r>
          </w:p>
          <w:p w14:paraId="2E6CEB29" w14:textId="712F79B4" w:rsidR="007A5D15" w:rsidRPr="0045028D" w:rsidRDefault="007A5D15" w:rsidP="007A5D15">
            <w:pPr>
              <w:pStyle w:val="Paragrafspisk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razumiju i osposobljeni su za primjenu koncepta strateškog planiranja u sektoru u kome rade.</w:t>
            </w:r>
          </w:p>
          <w:p w14:paraId="238658F1" w14:textId="77777777" w:rsidR="001471F3" w:rsidRPr="0045028D" w:rsidRDefault="007A5D15" w:rsidP="007A5D15">
            <w:pPr>
              <w:pStyle w:val="Paragrafspisk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Polaznici obuke razumiju i</w:t>
            </w:r>
            <w:r w:rsidR="00C73BF8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u stanju su aktivno učestvovati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u procesu programiranja.</w:t>
            </w:r>
          </w:p>
        </w:tc>
      </w:tr>
      <w:tr w:rsidR="001471F3" w:rsidRPr="0045028D" w14:paraId="0305AF45" w14:textId="77777777" w:rsidTr="003F0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31787A" w14:textId="77777777" w:rsidR="001471F3" w:rsidRPr="0045028D" w:rsidRDefault="001471F3" w:rsidP="003F0F56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3FE7E35F" w14:textId="77777777" w:rsidR="001471F3" w:rsidRPr="0045028D" w:rsidRDefault="001471F3" w:rsidP="003F0F56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3E0A8183" w14:textId="77777777" w:rsidR="001471F3" w:rsidRPr="0045028D" w:rsidRDefault="001471F3" w:rsidP="003F0F56">
            <w:pPr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</w:p>
          <w:p w14:paraId="34175BCD" w14:textId="77777777" w:rsidR="001471F3" w:rsidRPr="0045028D" w:rsidRDefault="001471F3" w:rsidP="003F0F56">
            <w:pPr>
              <w:jc w:val="center"/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color w:val="auto"/>
                <w:sz w:val="20"/>
                <w:szCs w:val="20"/>
                <w:lang w:val="bs-Latn-BA"/>
              </w:rPr>
              <w:t>Metode izvedbe obuke</w:t>
            </w:r>
          </w:p>
        </w:tc>
        <w:tc>
          <w:tcPr>
            <w:tcW w:w="1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99FCF" w14:textId="77777777" w:rsidR="006204EC" w:rsidRPr="0045028D" w:rsidRDefault="001471F3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Obuka se može držati kao klasična obuka u učionici ili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webinar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.</w:t>
            </w:r>
          </w:p>
          <w:p w14:paraId="7AE4CE51" w14:textId="77777777" w:rsidR="006204EC" w:rsidRPr="0045028D" w:rsidRDefault="001471F3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Teorijski dio (prezentacije) i praktični dio (vježbe i kvizovi).</w:t>
            </w:r>
          </w:p>
          <w:p w14:paraId="36CBFF06" w14:textId="77777777" w:rsidR="006204EC" w:rsidRPr="0045028D" w:rsidRDefault="006204EC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</w:p>
          <w:p w14:paraId="4B035DEC" w14:textId="693D8C36" w:rsidR="006204EC" w:rsidRPr="0045028D" w:rsidRDefault="001471F3" w:rsidP="00C73B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Praktični dio treba trajati 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2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-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3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akademska 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sat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a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(</w:t>
            </w:r>
            <w:r w:rsidR="006204EC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cca 30%</w:t>
            </w:r>
            <w:r w:rsidR="000A423A"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) svakog dana</w:t>
            </w: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 obuke. </w:t>
            </w:r>
          </w:p>
          <w:p w14:paraId="5B371148" w14:textId="77777777" w:rsidR="001471F3" w:rsidRPr="0045028D" w:rsidRDefault="001471F3" w:rsidP="00C73B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 xml:space="preserve">Ukoliko se obuka drži u formi </w:t>
            </w:r>
            <w:proofErr w:type="spellStart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webinara</w:t>
            </w:r>
            <w:proofErr w:type="spellEnd"/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, skraćenje njenog trajanja treba biti provedeno na način da se osigura proporcionalno pokrivanje cjelokupnog sadržaja (teorijski dio i vježbe).</w:t>
            </w:r>
          </w:p>
          <w:p w14:paraId="6A9EDC3B" w14:textId="77777777" w:rsidR="001471F3" w:rsidRPr="0045028D" w:rsidRDefault="001471F3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eastAsia="Arial Unicode MS" w:hAnsi="Cambria"/>
                <w:sz w:val="20"/>
                <w:szCs w:val="20"/>
                <w:lang w:val="bs-Latn-BA"/>
              </w:rPr>
              <w:t>Praktični dio sadrži vježbe na teme:</w:t>
            </w:r>
          </w:p>
          <w:p w14:paraId="6B73C4E8" w14:textId="77777777" w:rsidR="006204EC" w:rsidRPr="0045028D" w:rsidRDefault="001471F3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</w:t>
            </w:r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- analiza stanja u okviru tematskih prioriteta; </w:t>
            </w:r>
          </w:p>
          <w:p w14:paraId="5355F3B0" w14:textId="77777777" w:rsidR="006204EC" w:rsidRPr="0045028D" w:rsidRDefault="00C73BF8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formulisanje</w:t>
            </w:r>
            <w:proofErr w:type="spellEnd"/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problema primjenom stabla problema;</w:t>
            </w:r>
          </w:p>
          <w:p w14:paraId="23728713" w14:textId="5C6D72BC" w:rsidR="006204EC" w:rsidRPr="0045028D" w:rsidRDefault="006204EC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formuli</w:t>
            </w:r>
            <w:r w:rsidR="00C73BF8" w:rsidRPr="0045028D">
              <w:rPr>
                <w:rFonts w:ascii="Cambria" w:hAnsi="Cambria"/>
                <w:sz w:val="20"/>
                <w:szCs w:val="20"/>
                <w:lang w:val="bs-Latn-BA"/>
              </w:rPr>
              <w:t>sanje</w:t>
            </w:r>
            <w:proofErr w:type="spellEnd"/>
            <w:r w:rsidR="00C73BF8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op</w:t>
            </w:r>
            <w:r w:rsidR="0045028D">
              <w:rPr>
                <w:rFonts w:ascii="Cambria" w:hAnsi="Cambria"/>
                <w:sz w:val="20"/>
                <w:szCs w:val="20"/>
                <w:lang w:val="bs-Latn-BA"/>
              </w:rPr>
              <w:t>ćih</w:t>
            </w: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i specifičnih ciljeva za odabrani tematski okvir;</w:t>
            </w:r>
          </w:p>
          <w:p w14:paraId="7BB49919" w14:textId="77777777" w:rsidR="006204EC" w:rsidRPr="0045028D" w:rsidRDefault="00C73BF8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- identifikacija</w:t>
            </w:r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akcija u okviru tematskih prioriteta;</w:t>
            </w:r>
          </w:p>
          <w:p w14:paraId="5A6252EF" w14:textId="77777777" w:rsidR="006204EC" w:rsidRPr="0045028D" w:rsidRDefault="00C73BF8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-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formulisanje</w:t>
            </w:r>
            <w:proofErr w:type="spellEnd"/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indikatora za mjerenje </w:t>
            </w:r>
            <w:proofErr w:type="spellStart"/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>postignuća</w:t>
            </w:r>
            <w:proofErr w:type="spellEnd"/>
            <w:r w:rsidR="006204EC"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cilja.</w:t>
            </w:r>
          </w:p>
          <w:p w14:paraId="09148899" w14:textId="77777777" w:rsidR="006204EC" w:rsidRPr="0045028D" w:rsidRDefault="006204EC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</w:p>
          <w:p w14:paraId="73C90D07" w14:textId="77777777" w:rsidR="001471F3" w:rsidRPr="0045028D" w:rsidRDefault="001471F3" w:rsidP="00C73BF8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  <w:lang w:val="bs-Latn-BA"/>
              </w:rPr>
            </w:pPr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Obukom je predviđeno </w:t>
            </w:r>
            <w:proofErr w:type="spellStart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>održavanje</w:t>
            </w:r>
            <w:proofErr w:type="spellEnd"/>
            <w:r w:rsidRPr="0045028D">
              <w:rPr>
                <w:rFonts w:ascii="Cambria" w:hAnsi="Cambria"/>
                <w:sz w:val="20"/>
                <w:szCs w:val="20"/>
                <w:lang w:val="bs-Latn-BA"/>
              </w:rPr>
              <w:t xml:space="preserve"> kviza provjere znanja na kraju svake cjeline, odnosno ukupno 3 kviza.</w:t>
            </w:r>
          </w:p>
        </w:tc>
      </w:tr>
    </w:tbl>
    <w:p w14:paraId="0C21A8EF" w14:textId="77777777" w:rsidR="00F30F9D" w:rsidRPr="0045028D" w:rsidRDefault="00F30F9D">
      <w:pPr>
        <w:rPr>
          <w:lang w:val="bs-Latn-BA"/>
        </w:rPr>
      </w:pPr>
    </w:p>
    <w:sectPr w:rsidR="00F30F9D" w:rsidRPr="0045028D" w:rsidSect="001471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2350" w14:textId="77777777" w:rsidR="00811004" w:rsidRDefault="00811004" w:rsidP="001471F3">
      <w:pPr>
        <w:spacing w:after="0" w:line="240" w:lineRule="auto"/>
      </w:pPr>
      <w:r>
        <w:separator/>
      </w:r>
    </w:p>
  </w:endnote>
  <w:endnote w:type="continuationSeparator" w:id="0">
    <w:p w14:paraId="2A8D8B74" w14:textId="77777777" w:rsidR="00811004" w:rsidRDefault="00811004" w:rsidP="0014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3867" w14:textId="77777777" w:rsidR="00811004" w:rsidRDefault="00811004" w:rsidP="001471F3">
      <w:pPr>
        <w:spacing w:after="0" w:line="240" w:lineRule="auto"/>
      </w:pPr>
      <w:r>
        <w:separator/>
      </w:r>
    </w:p>
  </w:footnote>
  <w:footnote w:type="continuationSeparator" w:id="0">
    <w:p w14:paraId="735351BE" w14:textId="77777777" w:rsidR="00811004" w:rsidRDefault="00811004" w:rsidP="00147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10"/>
    <w:multiLevelType w:val="hybridMultilevel"/>
    <w:tmpl w:val="0F5213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413"/>
    <w:multiLevelType w:val="hybridMultilevel"/>
    <w:tmpl w:val="F18AD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B4B5F"/>
    <w:multiLevelType w:val="hybridMultilevel"/>
    <w:tmpl w:val="AF5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798"/>
    <w:multiLevelType w:val="hybridMultilevel"/>
    <w:tmpl w:val="0DB089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10C6486"/>
    <w:multiLevelType w:val="hybridMultilevel"/>
    <w:tmpl w:val="8E4A2F5A"/>
    <w:lvl w:ilvl="0" w:tplc="576C4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6A2B"/>
    <w:multiLevelType w:val="hybridMultilevel"/>
    <w:tmpl w:val="19FAF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6478"/>
    <w:multiLevelType w:val="hybridMultilevel"/>
    <w:tmpl w:val="F2A2E718"/>
    <w:lvl w:ilvl="0" w:tplc="D2BCF90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7A6C"/>
    <w:multiLevelType w:val="hybridMultilevel"/>
    <w:tmpl w:val="C2689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37E89"/>
    <w:multiLevelType w:val="hybridMultilevel"/>
    <w:tmpl w:val="5FA6BF1E"/>
    <w:lvl w:ilvl="0" w:tplc="60C6EFC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03F6E25"/>
    <w:multiLevelType w:val="hybridMultilevel"/>
    <w:tmpl w:val="82546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14E1D"/>
    <w:multiLevelType w:val="hybridMultilevel"/>
    <w:tmpl w:val="D35AD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141815">
    <w:abstractNumId w:val="0"/>
  </w:num>
  <w:num w:numId="2" w16cid:durableId="669983630">
    <w:abstractNumId w:val="6"/>
  </w:num>
  <w:num w:numId="3" w16cid:durableId="1233588533">
    <w:abstractNumId w:val="2"/>
  </w:num>
  <w:num w:numId="4" w16cid:durableId="1549950712">
    <w:abstractNumId w:val="11"/>
  </w:num>
  <w:num w:numId="5" w16cid:durableId="626741109">
    <w:abstractNumId w:val="10"/>
  </w:num>
  <w:num w:numId="6" w16cid:durableId="1833906547">
    <w:abstractNumId w:val="8"/>
  </w:num>
  <w:num w:numId="7" w16cid:durableId="1763182037">
    <w:abstractNumId w:val="7"/>
  </w:num>
  <w:num w:numId="8" w16cid:durableId="2058242797">
    <w:abstractNumId w:val="4"/>
  </w:num>
  <w:num w:numId="9" w16cid:durableId="531109360">
    <w:abstractNumId w:val="9"/>
  </w:num>
  <w:num w:numId="10" w16cid:durableId="2133936319">
    <w:abstractNumId w:val="5"/>
  </w:num>
  <w:num w:numId="11" w16cid:durableId="1943561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9237633">
    <w:abstractNumId w:val="0"/>
  </w:num>
  <w:num w:numId="13" w16cid:durableId="1438788735">
    <w:abstractNumId w:val="3"/>
  </w:num>
  <w:num w:numId="14" w16cid:durableId="383258024">
    <w:abstractNumId w:val="2"/>
  </w:num>
  <w:num w:numId="15" w16cid:durableId="71650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F7"/>
    <w:rsid w:val="000A423A"/>
    <w:rsid w:val="001471F3"/>
    <w:rsid w:val="001F7CD7"/>
    <w:rsid w:val="003B1775"/>
    <w:rsid w:val="0045028D"/>
    <w:rsid w:val="006204EC"/>
    <w:rsid w:val="00745D2F"/>
    <w:rsid w:val="007A5D15"/>
    <w:rsid w:val="00811004"/>
    <w:rsid w:val="008A5EEE"/>
    <w:rsid w:val="00C73BF8"/>
    <w:rsid w:val="00EE4DFF"/>
    <w:rsid w:val="00EF01A2"/>
    <w:rsid w:val="00F30F9D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9311"/>
  <w15:chartTrackingRefBased/>
  <w15:docId w15:val="{66A89DAD-9D90-41A3-A5EC-56D1E37C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471F3"/>
    <w:pPr>
      <w:spacing w:after="160" w:line="259" w:lineRule="auto"/>
      <w:jc w:val="left"/>
    </w:p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Tamnatabelareetke5-isticanje1">
    <w:name w:val="Grid Table 5 Dark Accent 1"/>
    <w:basedOn w:val="Normalnatabela"/>
    <w:uiPriority w:val="50"/>
    <w:rsid w:val="001471F3"/>
    <w:pPr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fspiska">
    <w:name w:val="List Paragraph"/>
    <w:basedOn w:val="Normalno"/>
    <w:uiPriority w:val="34"/>
    <w:qFormat/>
    <w:rsid w:val="001471F3"/>
    <w:pPr>
      <w:ind w:left="720"/>
      <w:contextualSpacing/>
    </w:pPr>
  </w:style>
  <w:style w:type="paragraph" w:styleId="Tekstfusnote">
    <w:name w:val="footnote text"/>
    <w:basedOn w:val="Normalno"/>
    <w:link w:val="TekstfusnoteZnak"/>
    <w:uiPriority w:val="99"/>
    <w:semiHidden/>
    <w:unhideWhenUsed/>
    <w:rsid w:val="001471F3"/>
    <w:pPr>
      <w:spacing w:after="0" w:line="240" w:lineRule="auto"/>
    </w:pPr>
    <w:rPr>
      <w:sz w:val="20"/>
      <w:szCs w:val="20"/>
    </w:rPr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1471F3"/>
    <w:rPr>
      <w:sz w:val="20"/>
      <w:szCs w:val="20"/>
    </w:rPr>
  </w:style>
  <w:style w:type="character" w:styleId="Referencafusnote">
    <w:name w:val="footnote reference"/>
    <w:basedOn w:val="Zadanifontparagrafa"/>
    <w:uiPriority w:val="99"/>
    <w:semiHidden/>
    <w:unhideWhenUsed/>
    <w:rsid w:val="0014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ADMKT</dc:creator>
  <cp:keywords/>
  <dc:description/>
  <cp:lastModifiedBy>Suzana Mijatović</cp:lastModifiedBy>
  <cp:revision>3</cp:revision>
  <dcterms:created xsi:type="dcterms:W3CDTF">2024-01-25T11:38:00Z</dcterms:created>
  <dcterms:modified xsi:type="dcterms:W3CDTF">2024-01-25T12:05:00Z</dcterms:modified>
</cp:coreProperties>
</file>