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mnatabelareetke5-isticanje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50"/>
        <w:gridCol w:w="10700"/>
      </w:tblGrid>
      <w:tr w:rsidR="00EB759F" w:rsidRPr="00B6737A" w14:paraId="476593D7" w14:textId="77777777" w:rsidTr="006F17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46AA7EF8" w14:textId="77777777" w:rsidR="00EB759F" w:rsidRPr="006F17F6" w:rsidRDefault="001F0D6E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bs-Cyrl-BA"/>
              </w:rPr>
            </w:pPr>
            <w:r w:rsidRPr="006F17F6">
              <w:rPr>
                <w:rFonts w:ascii="Cambria" w:hAnsi="Cambria"/>
                <w:color w:val="auto"/>
                <w:sz w:val="20"/>
                <w:szCs w:val="20"/>
                <w:lang w:val="bs-Cyrl-BA"/>
              </w:rPr>
              <w:t>Назив обуке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15D5D553" w14:textId="0710C8C1" w:rsidR="00EB759F" w:rsidRPr="003C41B5" w:rsidRDefault="00E96A60" w:rsidP="00406F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</w:pPr>
            <w:r>
              <w:rPr>
                <w:rFonts w:ascii="Cambria" w:hAnsi="Cambria"/>
                <w:color w:val="auto"/>
                <w:sz w:val="28"/>
                <w:szCs w:val="28"/>
                <w:lang w:val="sr-Cyrl-RS"/>
              </w:rPr>
              <w:t>д</w:t>
            </w:r>
            <w:r w:rsidR="00406F77"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>)</w:t>
            </w:r>
            <w:r w:rsidR="00406F77">
              <w:rPr>
                <w:rFonts w:ascii="Cambria" w:hAnsi="Cambria"/>
                <w:color w:val="auto"/>
                <w:sz w:val="28"/>
                <w:szCs w:val="28"/>
              </w:rPr>
              <w:t xml:space="preserve"> </w:t>
            </w:r>
            <w:r w:rsidR="00406F77" w:rsidRPr="00406F77"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>СТРАТЕШКО ПЛА</w:t>
            </w:r>
            <w:r w:rsidR="00406F77"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>НИРАЊЕ У КОНТЕКСТУ ПРОГРАМИРАЊА</w:t>
            </w:r>
            <w:r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 xml:space="preserve"> </w:t>
            </w:r>
            <w:r w:rsidR="00406F77" w:rsidRPr="00406F77"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>ПРЕТПРИСТУПНЕ ПОМОЋИ ЕВРОПСКЕ УНИЈЕ</w:t>
            </w:r>
          </w:p>
        </w:tc>
      </w:tr>
      <w:tr w:rsidR="00EB759F" w:rsidRPr="002342D9" w14:paraId="25CC04EC" w14:textId="77777777" w:rsidTr="006F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1EE56BE9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62698416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04FD33E9" w14:textId="77777777" w:rsidR="00EB759F" w:rsidRDefault="005A230A" w:rsidP="00406F77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Садржај обуке</w:t>
            </w:r>
          </w:p>
          <w:p w14:paraId="00BD250D" w14:textId="77777777" w:rsidR="00406F77" w:rsidRDefault="00406F77" w:rsidP="00406F77">
            <w:pPr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7343080F" w14:textId="77777777" w:rsidR="00406F77" w:rsidRPr="002342D9" w:rsidRDefault="00406F77" w:rsidP="00406F77">
            <w:pPr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</w:tc>
        <w:tc>
          <w:tcPr>
            <w:tcW w:w="10700" w:type="dxa"/>
            <w:shd w:val="clear" w:color="auto" w:fill="F2F2F2" w:themeFill="background1" w:themeFillShade="F2"/>
          </w:tcPr>
          <w:p w14:paraId="6D992B52" w14:textId="77777777" w:rsidR="00406F77" w:rsidRPr="00720A3C" w:rsidRDefault="00720A3C" w:rsidP="00720A3C">
            <w:pPr>
              <w:pStyle w:val="Paragrafspiska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720A3C">
              <w:rPr>
                <w:rFonts w:ascii="Cambria" w:hAnsi="Cambria"/>
                <w:b/>
                <w:sz w:val="20"/>
                <w:szCs w:val="20"/>
                <w:lang w:val="sr-Cyrl-BA"/>
              </w:rPr>
              <w:t xml:space="preserve">ИПА </w:t>
            </w:r>
            <w:r w:rsidRPr="00720A3C">
              <w:rPr>
                <w:rFonts w:ascii="Cambria" w:hAnsi="Cambria"/>
                <w:b/>
                <w:sz w:val="20"/>
                <w:szCs w:val="20"/>
                <w:lang w:val="hr-BA"/>
              </w:rPr>
              <w:t>III</w:t>
            </w:r>
            <w:r w:rsidR="00406F77" w:rsidRPr="00720A3C">
              <w:rPr>
                <w:rFonts w:ascii="Cambria" w:hAnsi="Cambria"/>
                <w:b/>
                <w:sz w:val="20"/>
                <w:szCs w:val="20"/>
                <w:lang w:val="sr-Cyrl-BA"/>
              </w:rPr>
              <w:t xml:space="preserve"> концепт финансирања</w:t>
            </w:r>
            <w:r w:rsidR="00406F77" w:rsidRPr="00720A3C">
              <w:rPr>
                <w:rFonts w:ascii="Cambria" w:hAnsi="Cambria"/>
                <w:sz w:val="20"/>
                <w:szCs w:val="20"/>
                <w:lang w:val="sr-Cyrl-BA"/>
              </w:rPr>
              <w:t xml:space="preserve"> </w:t>
            </w:r>
          </w:p>
          <w:p w14:paraId="281FE88B" w14:textId="77777777" w:rsidR="00720A3C" w:rsidRDefault="00720A3C" w:rsidP="00406F77">
            <w:pPr>
              <w:pStyle w:val="Paragrafspiska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>ИПА III</w:t>
            </w:r>
            <w:r w:rsidR="00406F77" w:rsidRPr="00720A3C">
              <w:rPr>
                <w:rFonts w:ascii="Cambria" w:hAnsi="Cambria"/>
                <w:sz w:val="20"/>
                <w:szCs w:val="20"/>
                <w:lang w:val="sr-Cyrl-BA"/>
              </w:rPr>
              <w:t xml:space="preserve"> циљеви</w:t>
            </w:r>
          </w:p>
          <w:p w14:paraId="6B28EACB" w14:textId="77777777" w:rsidR="00720A3C" w:rsidRDefault="00406F77" w:rsidP="00406F77">
            <w:pPr>
              <w:pStyle w:val="Paragrafspiska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>Претпоставке за добијање средстава - усклађеност између постигнутнутих резултата и подјеле средстава државама корисницама помоћи</w:t>
            </w:r>
          </w:p>
          <w:p w14:paraId="1BC466D5" w14:textId="77777777" w:rsidR="00406F77" w:rsidRPr="00720A3C" w:rsidRDefault="00406F77" w:rsidP="00406F77">
            <w:pPr>
              <w:pStyle w:val="Paragrafspiska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>Тематски прозори</w:t>
            </w:r>
          </w:p>
          <w:p w14:paraId="58A9C13C" w14:textId="77777777" w:rsidR="00406F77" w:rsidRPr="00720A3C" w:rsidRDefault="00406F77" w:rsidP="00720A3C">
            <w:pPr>
              <w:pStyle w:val="Paragrafspiska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sr-Cyrl-BA"/>
              </w:rPr>
            </w:pPr>
            <w:r w:rsidRPr="00720A3C">
              <w:rPr>
                <w:rFonts w:ascii="Cambria" w:hAnsi="Cambria"/>
                <w:b/>
                <w:sz w:val="20"/>
                <w:szCs w:val="20"/>
                <w:lang w:val="sr-Cyrl-BA"/>
              </w:rPr>
              <w:t>Тематски  приоритети</w:t>
            </w:r>
          </w:p>
          <w:p w14:paraId="0366FC0F" w14:textId="29F2450B" w:rsidR="00720A3C" w:rsidRDefault="00406F77" w:rsidP="00406F77">
            <w:pPr>
              <w:pStyle w:val="Paragrafspiska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>Темат</w:t>
            </w:r>
            <w:r w:rsidR="00720A3C">
              <w:rPr>
                <w:rFonts w:ascii="Cambria" w:hAnsi="Cambria"/>
                <w:sz w:val="20"/>
                <w:szCs w:val="20"/>
                <w:lang w:val="sr-Cyrl-BA"/>
              </w:rPr>
              <w:t>ски приоритети и веза с ИПА III</w:t>
            </w: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 xml:space="preserve"> тематским прозорима</w:t>
            </w:r>
          </w:p>
          <w:p w14:paraId="20E07616" w14:textId="77777777" w:rsidR="00720A3C" w:rsidRDefault="00406F77" w:rsidP="00406F77">
            <w:pPr>
              <w:pStyle w:val="Paragrafspiska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>Тематски приоритети  и веза са развојним потребама државе кориснице помоћи</w:t>
            </w:r>
          </w:p>
          <w:p w14:paraId="5E1EEB07" w14:textId="77777777" w:rsidR="00406F77" w:rsidRPr="00720A3C" w:rsidRDefault="00406F77" w:rsidP="00406F77">
            <w:pPr>
              <w:pStyle w:val="Paragrafspiska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 xml:space="preserve">Начин планирања и програмирање помоћи у оквиру  тематских прозора </w:t>
            </w:r>
          </w:p>
          <w:p w14:paraId="632B5EDB" w14:textId="77777777" w:rsidR="00406F77" w:rsidRPr="00720A3C" w:rsidRDefault="00406F77" w:rsidP="00720A3C">
            <w:pPr>
              <w:pStyle w:val="Paragrafspiska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sr-Cyrl-BA"/>
              </w:rPr>
            </w:pPr>
            <w:r w:rsidRPr="00720A3C">
              <w:rPr>
                <w:rFonts w:ascii="Cambria" w:hAnsi="Cambria"/>
                <w:b/>
                <w:sz w:val="20"/>
                <w:szCs w:val="20"/>
                <w:lang w:val="sr-Cyrl-BA"/>
              </w:rPr>
              <w:t xml:space="preserve">Стратешко планирање </w:t>
            </w:r>
          </w:p>
          <w:p w14:paraId="11E2E64E" w14:textId="04857C02" w:rsidR="00720A3C" w:rsidRDefault="00406F77" w:rsidP="00406F77">
            <w:pPr>
              <w:pStyle w:val="Paragrafspisk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>Тематски про</w:t>
            </w:r>
            <w:r w:rsidR="00720A3C">
              <w:rPr>
                <w:rFonts w:ascii="Cambria" w:hAnsi="Cambria"/>
                <w:sz w:val="20"/>
                <w:szCs w:val="20"/>
                <w:lang w:val="sr-Cyrl-BA"/>
              </w:rPr>
              <w:t>зори и веза с ИПА II</w:t>
            </w: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 xml:space="preserve"> секторима –кохерентност секторских стратегија, тренутне активности на </w:t>
            </w:r>
            <w:r w:rsidR="00E96A60">
              <w:rPr>
                <w:rFonts w:ascii="Cambria" w:hAnsi="Cambria"/>
                <w:sz w:val="20"/>
                <w:szCs w:val="20"/>
                <w:lang w:val="sr-Cyrl-BA"/>
              </w:rPr>
              <w:t>цпровођењу</w:t>
            </w: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 xml:space="preserve"> кључних реформи</w:t>
            </w:r>
          </w:p>
          <w:p w14:paraId="48AA03A5" w14:textId="77777777" w:rsidR="00720A3C" w:rsidRDefault="00406F77" w:rsidP="00406F77">
            <w:pPr>
              <w:pStyle w:val="Paragrafspisk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>Идентификација  проблема у вези са тематским приоритетима</w:t>
            </w:r>
          </w:p>
          <w:p w14:paraId="3D5AAB75" w14:textId="77777777" w:rsidR="00720A3C" w:rsidRDefault="00406F77" w:rsidP="00406F77">
            <w:pPr>
              <w:pStyle w:val="Paragrafspisk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>Формулисање општих и специфичних циљева за одабрани тематски приоритет</w:t>
            </w:r>
          </w:p>
          <w:p w14:paraId="5A706B2A" w14:textId="673209B7" w:rsidR="00EB759F" w:rsidRPr="00720A3C" w:rsidRDefault="00406F77" w:rsidP="00406F77">
            <w:pPr>
              <w:pStyle w:val="Paragrafspisk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>Формулисање индикатора за мјерење остав</w:t>
            </w:r>
            <w:r w:rsidR="00200430">
              <w:rPr>
                <w:rFonts w:ascii="Cambria" w:hAnsi="Cambria"/>
                <w:sz w:val="20"/>
                <w:szCs w:val="20"/>
                <w:lang w:val="bs-Latn-BA"/>
              </w:rPr>
              <w:t>a</w:t>
            </w: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>рењ</w:t>
            </w:r>
            <w:r w:rsidR="00200430">
              <w:rPr>
                <w:rFonts w:ascii="Cambria" w:hAnsi="Cambria"/>
                <w:sz w:val="20"/>
                <w:szCs w:val="20"/>
                <w:lang w:val="bs-Latn-BA"/>
              </w:rPr>
              <w:t>e</w:t>
            </w: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 xml:space="preserve"> циља.</w:t>
            </w:r>
          </w:p>
        </w:tc>
      </w:tr>
      <w:tr w:rsidR="00EB759F" w:rsidRPr="002342D9" w14:paraId="301CA89D" w14:textId="77777777" w:rsidTr="006F1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1EE5A355" w14:textId="77777777" w:rsidR="00720A3C" w:rsidRDefault="00720A3C" w:rsidP="005A230A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6AB7C64C" w14:textId="77777777" w:rsidR="00EB759F" w:rsidRPr="002342D9" w:rsidRDefault="000936DE" w:rsidP="005A230A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Т</w:t>
            </w:r>
            <w:r w:rsidR="005A230A"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 xml:space="preserve">рајање </w:t>
            </w:r>
            <w:r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 xml:space="preserve">обуке </w:t>
            </w:r>
            <w:r w:rsidR="005A230A"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изражено бројем академских часова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273F4A52" w14:textId="77777777" w:rsidR="00EB759F" w:rsidRPr="002342D9" w:rsidRDefault="00EB759F" w:rsidP="00A4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  <w:p w14:paraId="4212F72B" w14:textId="50C21551" w:rsidR="006F17F6" w:rsidRPr="002342D9" w:rsidRDefault="00406F77" w:rsidP="00D51E5B">
            <w:pPr>
              <w:pStyle w:val="Paragrafspisk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sz w:val="20"/>
                <w:szCs w:val="20"/>
                <w:lang w:val="sr-Cyrl-BA"/>
              </w:rPr>
              <w:t>Класична обука у учионици: 1</w:t>
            </w:r>
            <w:r w:rsidR="00200430">
              <w:rPr>
                <w:rFonts w:ascii="Cambria" w:hAnsi="Cambria"/>
                <w:sz w:val="20"/>
                <w:szCs w:val="20"/>
                <w:lang w:val="bs-Latn-BA"/>
              </w:rPr>
              <w:t>6</w:t>
            </w:r>
            <w:r w:rsidR="006F17F6" w:rsidRPr="002342D9">
              <w:rPr>
                <w:rFonts w:ascii="Cambria" w:hAnsi="Cambria"/>
                <w:sz w:val="20"/>
                <w:szCs w:val="20"/>
                <w:lang w:val="sr-Cyrl-BA"/>
              </w:rPr>
              <w:t xml:space="preserve"> академских часова, т</w:t>
            </w:r>
            <w:r w:rsidR="002342D9" w:rsidRPr="002342D9">
              <w:rPr>
                <w:rFonts w:ascii="Cambria" w:hAnsi="Cambria"/>
                <w:sz w:val="20"/>
                <w:szCs w:val="20"/>
                <w:lang w:val="sr-Cyrl-BA"/>
              </w:rPr>
              <w:t xml:space="preserve">о </w:t>
            </w:r>
            <w:r w:rsidR="006F17F6" w:rsidRPr="002342D9">
              <w:rPr>
                <w:rFonts w:ascii="Cambria" w:hAnsi="Cambria"/>
                <w:sz w:val="20"/>
                <w:szCs w:val="20"/>
                <w:lang w:val="sr-Cyrl-BA"/>
              </w:rPr>
              <w:t>ј</w:t>
            </w:r>
            <w:r w:rsidR="002342D9" w:rsidRPr="002342D9">
              <w:rPr>
                <w:rFonts w:ascii="Cambria" w:hAnsi="Cambria"/>
                <w:sz w:val="20"/>
                <w:szCs w:val="20"/>
                <w:lang w:val="sr-Cyrl-BA"/>
              </w:rPr>
              <w:t>ест</w:t>
            </w:r>
            <w:r>
              <w:rPr>
                <w:rFonts w:ascii="Cambria" w:hAnsi="Cambria"/>
                <w:sz w:val="20"/>
                <w:szCs w:val="20"/>
                <w:lang w:val="sr-Cyrl-BA"/>
              </w:rPr>
              <w:t xml:space="preserve"> 2</w:t>
            </w:r>
            <w:r w:rsidR="00D51E5B">
              <w:rPr>
                <w:rFonts w:ascii="Cambria" w:hAnsi="Cambria"/>
                <w:sz w:val="20"/>
                <w:szCs w:val="20"/>
                <w:lang w:val="sr-Cyrl-BA"/>
              </w:rPr>
              <w:t xml:space="preserve"> дана</w:t>
            </w:r>
            <w:r>
              <w:rPr>
                <w:rFonts w:ascii="Cambria" w:hAnsi="Cambria"/>
                <w:sz w:val="20"/>
                <w:szCs w:val="20"/>
                <w:lang w:val="sr-Cyrl-BA"/>
              </w:rPr>
              <w:t xml:space="preserve"> по </w:t>
            </w:r>
            <w:r w:rsidR="00200430">
              <w:rPr>
                <w:rFonts w:ascii="Cambria" w:hAnsi="Cambria"/>
                <w:sz w:val="20"/>
                <w:szCs w:val="20"/>
                <w:lang w:val="bs-Latn-BA"/>
              </w:rPr>
              <w:t>8</w:t>
            </w:r>
            <w:r>
              <w:rPr>
                <w:rFonts w:ascii="Cambria" w:hAnsi="Cambria"/>
                <w:sz w:val="20"/>
                <w:szCs w:val="20"/>
                <w:lang w:val="sr-Cyrl-BA"/>
              </w:rPr>
              <w:t xml:space="preserve"> академских часова</w:t>
            </w:r>
          </w:p>
          <w:p w14:paraId="6CA0FC1E" w14:textId="77777777" w:rsidR="006F17F6" w:rsidRPr="002342D9" w:rsidRDefault="00406F77" w:rsidP="006F17F6">
            <w:pPr>
              <w:pStyle w:val="Paragrafspisk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sz w:val="20"/>
                <w:szCs w:val="20"/>
                <w:lang w:val="sr-Cyrl-BA"/>
              </w:rPr>
              <w:t>Вебинар: 9</w:t>
            </w:r>
            <w:r w:rsidR="00D51E5B">
              <w:rPr>
                <w:rFonts w:ascii="Cambria" w:hAnsi="Cambria"/>
                <w:sz w:val="20"/>
                <w:szCs w:val="20"/>
                <w:lang w:val="sr-Cyrl-BA"/>
              </w:rPr>
              <w:t xml:space="preserve"> академских часова</w:t>
            </w:r>
            <w:r w:rsidR="00720A3C">
              <w:rPr>
                <w:rFonts w:ascii="Cambria" w:hAnsi="Cambria"/>
                <w:sz w:val="20"/>
                <w:szCs w:val="20"/>
                <w:lang w:val="sr-Cyrl-BA"/>
              </w:rPr>
              <w:t>, то јест два дана по 4,5 академских часова</w:t>
            </w:r>
          </w:p>
          <w:p w14:paraId="76F50062" w14:textId="77777777" w:rsidR="006F17F6" w:rsidRPr="002342D9" w:rsidRDefault="006F17F6" w:rsidP="006F17F6">
            <w:pPr>
              <w:pStyle w:val="Paragrafspis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</w:tc>
      </w:tr>
      <w:tr w:rsidR="00EB759F" w:rsidRPr="002342D9" w14:paraId="28F6B75A" w14:textId="77777777" w:rsidTr="006F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567D4FFF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2072D5FC" w14:textId="77777777" w:rsidR="00720A3C" w:rsidRDefault="00720A3C" w:rsidP="00D51E5B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7087F10C" w14:textId="77777777" w:rsidR="00720A3C" w:rsidRDefault="00720A3C" w:rsidP="00D51E5B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2A3744A9" w14:textId="77777777" w:rsidR="00720A3C" w:rsidRDefault="00720A3C" w:rsidP="00D51E5B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2551BF11" w14:textId="77777777" w:rsidR="00720A3C" w:rsidRDefault="00720A3C" w:rsidP="00D51E5B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4C1BC771" w14:textId="77777777" w:rsidR="00720A3C" w:rsidRDefault="00720A3C" w:rsidP="00D51E5B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60BF12D7" w14:textId="77777777" w:rsidR="00720A3C" w:rsidRDefault="00720A3C" w:rsidP="00D51E5B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1D42A550" w14:textId="77777777" w:rsidR="005A230A" w:rsidRPr="002342D9" w:rsidRDefault="005A230A" w:rsidP="00D51E5B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Опис обуке</w:t>
            </w:r>
          </w:p>
          <w:p w14:paraId="20CCB46C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</w:tc>
        <w:tc>
          <w:tcPr>
            <w:tcW w:w="10700" w:type="dxa"/>
            <w:shd w:val="clear" w:color="auto" w:fill="F2F2F2" w:themeFill="background1" w:themeFillShade="F2"/>
          </w:tcPr>
          <w:p w14:paraId="68325C36" w14:textId="6E69E37D" w:rsidR="00720A3C" w:rsidRPr="00720A3C" w:rsidRDefault="00720A3C" w:rsidP="00720A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>Инструмент претпри</w:t>
            </w:r>
            <w:r>
              <w:rPr>
                <w:rFonts w:ascii="Cambria" w:hAnsi="Cambria"/>
                <w:sz w:val="20"/>
                <w:szCs w:val="20"/>
                <w:lang w:val="sr-Cyrl-BA"/>
              </w:rPr>
              <w:t>ступне помоћи 2021-2027 (ИПА III</w:t>
            </w: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 xml:space="preserve">) предвиђа способност државе кориснице помоћи ЕУ да сама припреми “стратешки одговор”, тј. плански документ који би у складу са релевантним ЕУ регулативама, Стратегијом за </w:t>
            </w:r>
            <w:r w:rsidR="00E96A60">
              <w:rPr>
                <w:rFonts w:ascii="Cambria" w:hAnsi="Cambria"/>
                <w:sz w:val="20"/>
                <w:szCs w:val="20"/>
                <w:lang w:val="sr-Cyrl-BA"/>
              </w:rPr>
              <w:t>З</w:t>
            </w: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>ападни Балкан те другим стратешким документима, идентификовао развојне приоритете државе кориснице у оквиру дефинисаних тематских прозора. Нови инструмент наставља са примј</w:t>
            </w:r>
            <w:r w:rsidR="005A66EA">
              <w:rPr>
                <w:rFonts w:ascii="Cambria" w:hAnsi="Cambria"/>
                <w:sz w:val="20"/>
                <w:szCs w:val="20"/>
                <w:lang w:val="sr-Cyrl-BA"/>
              </w:rPr>
              <w:t xml:space="preserve">еном секторског приступа, коришћењем постојећих ИПА </w:t>
            </w:r>
            <w:r w:rsidR="005A66EA">
              <w:rPr>
                <w:rFonts w:ascii="Cambria" w:hAnsi="Cambria"/>
                <w:sz w:val="20"/>
                <w:szCs w:val="20"/>
                <w:lang w:val="hr-BA"/>
              </w:rPr>
              <w:t>II</w:t>
            </w: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 xml:space="preserve"> структура, уколико је то примјењиво, те претпоставља постојање цјелодржавних секторских стратегија. Стога је потребно даље унапређивати и развијати везу између тематских приоритета, одговарајућих стратегија, буџетских средстава, тражене ЕУ помоћи и остварених резултата. Идентификацију приоритета у контексту програмирања ЕУ потребно је везати уз кључне приоритете који су дефинисани Стратегијом за </w:t>
            </w:r>
            <w:r w:rsidR="00E96A60">
              <w:rPr>
                <w:rFonts w:ascii="Cambria" w:hAnsi="Cambria"/>
                <w:sz w:val="20"/>
                <w:szCs w:val="20"/>
                <w:lang w:val="sr-Cyrl-BA"/>
              </w:rPr>
              <w:t>З</w:t>
            </w: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 xml:space="preserve">ападни Балкан и развојне приоритете неке земље. </w:t>
            </w:r>
          </w:p>
          <w:p w14:paraId="6F0880AC" w14:textId="4D1F0A2D" w:rsidR="00720A3C" w:rsidRPr="00720A3C" w:rsidRDefault="00720A3C" w:rsidP="00720A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>Стратешко планирање састоји се од низа кохерентних активности и поступака којима је циљ постизање сврховитости и максималних ефеката улагања и утрошка средстава. Програмирање помоћи је сложени процес идентификације приоритета унутар дефинисаног подручја (тематског прозора), одабира врсте активности, процедура и временских рокова у поступку припреме и одабира пројеката чија реализација треба допри</w:t>
            </w:r>
            <w:r w:rsidR="00E96A60">
              <w:rPr>
                <w:rFonts w:ascii="Cambria" w:hAnsi="Cambria"/>
                <w:sz w:val="20"/>
                <w:szCs w:val="20"/>
                <w:lang w:val="sr-Cyrl-BA"/>
              </w:rPr>
              <w:t>ниј</w:t>
            </w: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>ети остваривању циљева.</w:t>
            </w:r>
          </w:p>
          <w:p w14:paraId="343D2665" w14:textId="742FC5C6" w:rsidR="00885AB6" w:rsidRPr="002342D9" w:rsidRDefault="005A66EA" w:rsidP="00720A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sz w:val="20"/>
                <w:szCs w:val="20"/>
                <w:lang w:val="sr-Cyrl-BA"/>
              </w:rPr>
              <w:t xml:space="preserve">Процес програмирања ИПА </w:t>
            </w:r>
            <w:r>
              <w:rPr>
                <w:rFonts w:ascii="Cambria" w:hAnsi="Cambria"/>
                <w:sz w:val="20"/>
                <w:szCs w:val="20"/>
                <w:lang w:val="hr-BA"/>
              </w:rPr>
              <w:t>III</w:t>
            </w:r>
            <w:r w:rsidR="00720A3C" w:rsidRPr="00720A3C">
              <w:rPr>
                <w:rFonts w:ascii="Cambria" w:hAnsi="Cambria"/>
                <w:sz w:val="20"/>
                <w:szCs w:val="20"/>
                <w:lang w:val="sr-Cyrl-BA"/>
              </w:rPr>
              <w:t xml:space="preserve"> средстава усмјерен је посебно на остваривање потребних резултата у вези са процесом приступања земље кориснице ЕУ.</w:t>
            </w:r>
          </w:p>
        </w:tc>
      </w:tr>
      <w:tr w:rsidR="00EB759F" w:rsidRPr="002342D9" w14:paraId="4EB19D50" w14:textId="77777777" w:rsidTr="006F1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1BE4B630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302E15A6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73013C58" w14:textId="77777777" w:rsidR="005A66EA" w:rsidRDefault="005A66EA" w:rsidP="00D51E5B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11750145" w14:textId="77777777" w:rsidR="005A66EA" w:rsidRDefault="005A66EA" w:rsidP="00D51E5B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50BE6CF0" w14:textId="77777777" w:rsidR="005A230A" w:rsidRPr="002342D9" w:rsidRDefault="00885AB6" w:rsidP="00D51E5B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Циљеви о</w:t>
            </w:r>
            <w:r w:rsidR="005A230A"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буке</w:t>
            </w:r>
          </w:p>
          <w:p w14:paraId="346607DC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</w:tc>
        <w:tc>
          <w:tcPr>
            <w:tcW w:w="10700" w:type="dxa"/>
            <w:shd w:val="clear" w:color="auto" w:fill="F2F2F2" w:themeFill="background1" w:themeFillShade="F2"/>
          </w:tcPr>
          <w:p w14:paraId="49484023" w14:textId="77777777" w:rsidR="005A66EA" w:rsidRDefault="00720A3C" w:rsidP="005A66EA">
            <w:pPr>
              <w:pStyle w:val="Paragrafspisk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720A3C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Упознати полазнике са процесом стратешког планирања и алатима за стратешко планирање, те припремом планских и п</w:t>
            </w:r>
            <w:r w:rsidR="005A66EA">
              <w:rPr>
                <w:rFonts w:ascii="Cambria" w:eastAsia="Arial Unicode MS" w:hAnsi="Cambria"/>
                <w:sz w:val="20"/>
                <w:szCs w:val="20"/>
                <w:lang w:val="sr-Cyrl-BA"/>
              </w:rPr>
              <w:t>рограмских докумената за ИПА III</w:t>
            </w:r>
            <w:r w:rsidRPr="00720A3C">
              <w:rPr>
                <w:rFonts w:ascii="Cambria" w:eastAsia="Arial Unicode MS" w:hAnsi="Cambria"/>
                <w:sz w:val="20"/>
                <w:szCs w:val="20"/>
                <w:lang w:val="sr-Cyrl-BA"/>
              </w:rPr>
              <w:t>.</w:t>
            </w:r>
          </w:p>
          <w:p w14:paraId="73D167E9" w14:textId="77777777" w:rsidR="005A66EA" w:rsidRDefault="00720A3C" w:rsidP="005A66EA">
            <w:pPr>
              <w:pStyle w:val="Paragrafspisk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5A66EA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Упознати полазнике са начином програмирања помоћи ЕУ и процесом стратешког планирања.</w:t>
            </w:r>
          </w:p>
          <w:p w14:paraId="438C56BF" w14:textId="77777777" w:rsidR="005A66EA" w:rsidRDefault="00720A3C" w:rsidP="005A66EA">
            <w:pPr>
              <w:pStyle w:val="Paragrafspisk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5A66EA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Упознати полазнике са хијерархијом докумената у процесу </w:t>
            </w:r>
            <w:r w:rsidR="005A66EA">
              <w:rPr>
                <w:rFonts w:ascii="Cambria" w:eastAsia="Arial Unicode MS" w:hAnsi="Cambria"/>
                <w:sz w:val="20"/>
                <w:szCs w:val="20"/>
                <w:lang w:val="sr-Cyrl-BA"/>
              </w:rPr>
              <w:t>планирања и програмирања ИПА III</w:t>
            </w:r>
            <w:r w:rsidRPr="005A66EA">
              <w:rPr>
                <w:rFonts w:ascii="Cambria" w:eastAsia="Arial Unicode MS" w:hAnsi="Cambria"/>
                <w:sz w:val="20"/>
                <w:szCs w:val="20"/>
                <w:lang w:val="sr-Cyrl-BA"/>
              </w:rPr>
              <w:t>.</w:t>
            </w:r>
          </w:p>
          <w:p w14:paraId="79E8B606" w14:textId="77777777" w:rsidR="005A66EA" w:rsidRDefault="00720A3C" w:rsidP="005A66EA">
            <w:pPr>
              <w:pStyle w:val="Paragrafspisk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5A66EA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Упознати полазнике са везом између планских и програмских докумената припремљених у процесу </w:t>
            </w:r>
            <w:r w:rsidR="005A66EA">
              <w:rPr>
                <w:rFonts w:ascii="Cambria" w:eastAsia="Arial Unicode MS" w:hAnsi="Cambria"/>
                <w:sz w:val="20"/>
                <w:szCs w:val="20"/>
                <w:lang w:val="sr-Cyrl-BA"/>
              </w:rPr>
              <w:t>планирања и програмирања ИПА III</w:t>
            </w:r>
            <w:r w:rsidRPr="005A66EA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. </w:t>
            </w:r>
          </w:p>
          <w:p w14:paraId="6F9BFFCF" w14:textId="77777777" w:rsidR="00EB759F" w:rsidRPr="005A66EA" w:rsidRDefault="00720A3C" w:rsidP="005A66EA">
            <w:pPr>
              <w:pStyle w:val="Paragrafspisk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5A66EA">
              <w:rPr>
                <w:rFonts w:ascii="Cambria" w:eastAsia="Arial Unicode MS" w:hAnsi="Cambria"/>
                <w:sz w:val="20"/>
                <w:szCs w:val="20"/>
                <w:lang w:val="sr-Cyrl-BA"/>
              </w:rPr>
              <w:t>Упознати полазнике са везом између међународних стратешких докумената, домаћих секторских стратегија и докумената произашлих из процеса планирања и програмирања</w:t>
            </w:r>
            <w:r w:rsidR="005A66EA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претходног инструмента - ИПА II</w:t>
            </w:r>
            <w:r w:rsidRPr="005A66EA">
              <w:rPr>
                <w:rFonts w:ascii="Cambria" w:eastAsia="Arial Unicode MS" w:hAnsi="Cambria"/>
                <w:sz w:val="20"/>
                <w:szCs w:val="20"/>
                <w:lang w:val="sr-Cyrl-BA"/>
              </w:rPr>
              <w:t>.</w:t>
            </w:r>
          </w:p>
        </w:tc>
      </w:tr>
      <w:tr w:rsidR="00EB759F" w:rsidRPr="002342D9" w14:paraId="65EA566D" w14:textId="77777777" w:rsidTr="006F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0EECDC4F" w14:textId="77777777" w:rsidR="00EB759F" w:rsidRPr="002342D9" w:rsidRDefault="00EB759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2FCC78CC" w14:textId="77777777" w:rsidR="00EB759F" w:rsidRPr="002342D9" w:rsidRDefault="005A230A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Циљна група полазника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5243097E" w14:textId="77777777" w:rsidR="00F536C6" w:rsidRDefault="001F0D6E" w:rsidP="001F0D6E">
            <w:pPr>
              <w:pStyle w:val="Paragrafspisk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hAnsi="Cambria"/>
                <w:sz w:val="20"/>
                <w:szCs w:val="20"/>
                <w:lang w:val="sr-Cyrl-BA"/>
              </w:rPr>
              <w:t>Чланови тијела у систему координације процеса европских интеграција и осталих структура успостављених за потребе процеса европских интеграција и државни службеници који обављају послове</w:t>
            </w:r>
            <w:r w:rsidR="00F536C6">
              <w:rPr>
                <w:rFonts w:ascii="Cambria" w:hAnsi="Cambria"/>
                <w:sz w:val="20"/>
                <w:szCs w:val="20"/>
                <w:lang w:val="hr-BA"/>
              </w:rPr>
              <w:t>:</w:t>
            </w:r>
            <w:r w:rsidRPr="002342D9">
              <w:rPr>
                <w:rFonts w:ascii="Cambria" w:hAnsi="Cambria"/>
                <w:sz w:val="20"/>
                <w:szCs w:val="20"/>
                <w:lang w:val="sr-Cyrl-BA"/>
              </w:rPr>
              <w:t xml:space="preserve"> </w:t>
            </w:r>
          </w:p>
          <w:p w14:paraId="70D00960" w14:textId="77777777" w:rsidR="001F0D6E" w:rsidRPr="00DE380C" w:rsidRDefault="00DE380C" w:rsidP="00DE380C">
            <w:pPr>
              <w:pStyle w:val="Paragrafspiska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DE380C">
              <w:rPr>
                <w:rFonts w:ascii="Cambria" w:hAnsi="Cambria"/>
                <w:sz w:val="20"/>
                <w:szCs w:val="20"/>
                <w:lang w:val="sr-Cyrl-BA"/>
              </w:rPr>
              <w:t>стратешког планирања, програмирања, мониторинга и евалуације помоћи ЕУ.</w:t>
            </w:r>
          </w:p>
          <w:p w14:paraId="7804A993" w14:textId="77777777" w:rsidR="00EB759F" w:rsidRPr="002342D9" w:rsidRDefault="001F0D6E" w:rsidP="00DE380C">
            <w:pPr>
              <w:pStyle w:val="Paragrafspiska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2342D9">
              <w:rPr>
                <w:rFonts w:ascii="Cambria" w:hAnsi="Cambria"/>
                <w:sz w:val="20"/>
                <w:szCs w:val="20"/>
                <w:lang w:val="sr-Cyrl-BA"/>
              </w:rPr>
              <w:t>Научни и стручни радници, студенти додипломских, постдипломских и докторских студија у области европских интеграција, новинари, представници невладиних организација, запослени у јавним предузећима и незапослени</w:t>
            </w:r>
          </w:p>
        </w:tc>
      </w:tr>
      <w:tr w:rsidR="005A230A" w:rsidRPr="002342D9" w14:paraId="6F2B1275" w14:textId="77777777" w:rsidTr="006F1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6A026E55" w14:textId="77777777" w:rsidR="005A230A" w:rsidRPr="002342D9" w:rsidRDefault="005A230A" w:rsidP="00593D8C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7A4FB1CE" w14:textId="77777777" w:rsidR="005A230A" w:rsidRPr="002342D9" w:rsidRDefault="005A230A" w:rsidP="00593D8C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Исходи учења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5E65207F" w14:textId="67C32A66" w:rsidR="005A66EA" w:rsidRDefault="00720A3C" w:rsidP="00720A3C">
            <w:pPr>
              <w:pStyle w:val="Paragrafspisk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5A66EA">
              <w:rPr>
                <w:rFonts w:ascii="Cambria" w:eastAsia="Arial Unicode MS" w:hAnsi="Cambria"/>
                <w:sz w:val="20"/>
                <w:szCs w:val="20"/>
                <w:lang w:val="sr-Cyrl-BA"/>
              </w:rPr>
              <w:t>Полазници обуке разумију</w:t>
            </w:r>
            <w:r w:rsidR="005A66EA" w:rsidRPr="005A66EA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новине које карактеришу ИПА III</w:t>
            </w:r>
            <w:r w:rsidRPr="005A66EA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те нови начин планирања и програмирања ЕУ помоћи.</w:t>
            </w:r>
          </w:p>
          <w:p w14:paraId="689CA14B" w14:textId="77777777" w:rsidR="005A66EA" w:rsidRDefault="00720A3C" w:rsidP="00720A3C">
            <w:pPr>
              <w:pStyle w:val="Paragrafspisk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5A66EA">
              <w:rPr>
                <w:rFonts w:ascii="Cambria" w:eastAsia="Arial Unicode MS" w:hAnsi="Cambria"/>
                <w:sz w:val="20"/>
                <w:szCs w:val="20"/>
                <w:lang w:val="sr-Cyrl-BA"/>
              </w:rPr>
              <w:t>Полазници обуке разумију и оспособљени су за примјену концепта стратешког планирања у сектору у коме раде.</w:t>
            </w:r>
          </w:p>
          <w:p w14:paraId="5BE4AF6F" w14:textId="77777777" w:rsidR="005A230A" w:rsidRPr="005A66EA" w:rsidRDefault="00720A3C" w:rsidP="00720A3C">
            <w:pPr>
              <w:pStyle w:val="Paragrafspisk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5A66EA">
              <w:rPr>
                <w:rFonts w:ascii="Cambria" w:eastAsia="Arial Unicode MS" w:hAnsi="Cambria"/>
                <w:sz w:val="20"/>
                <w:szCs w:val="20"/>
                <w:lang w:val="sr-Cyrl-BA"/>
              </w:rPr>
              <w:t>Полазници обуке разумију и у стању су активно учествовати у процесу програмирања.</w:t>
            </w:r>
          </w:p>
        </w:tc>
      </w:tr>
      <w:tr w:rsidR="005A230A" w:rsidRPr="002342D9" w14:paraId="3A4D6E0C" w14:textId="77777777" w:rsidTr="006F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62700A3D" w14:textId="77777777" w:rsidR="005A230A" w:rsidRPr="002342D9" w:rsidRDefault="005A230A" w:rsidP="00593D8C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7F45AA30" w14:textId="77777777" w:rsidR="00BF0E70" w:rsidRDefault="00BF0E70" w:rsidP="00593D8C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2E9EE016" w14:textId="77777777" w:rsidR="00BF0E70" w:rsidRDefault="00BF0E70" w:rsidP="00593D8C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20076E28" w14:textId="77777777" w:rsidR="00BF0E70" w:rsidRDefault="00BF0E70" w:rsidP="00593D8C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5819B6EB" w14:textId="77777777" w:rsidR="00BF0E70" w:rsidRDefault="00BF0E70" w:rsidP="00593D8C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6D8B2CA9" w14:textId="77777777" w:rsidR="00BF0E70" w:rsidRDefault="00BF0E70" w:rsidP="00593D8C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0F3D40B0" w14:textId="77777777" w:rsidR="00BF0E70" w:rsidRDefault="00BF0E70" w:rsidP="00593D8C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3BE76BFE" w14:textId="77777777" w:rsidR="005A230A" w:rsidRPr="002342D9" w:rsidRDefault="005A230A" w:rsidP="00593D8C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Методе изв</w:t>
            </w:r>
            <w:r w:rsidR="006476B3"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ође</w:t>
            </w:r>
            <w:r w:rsidR="00E013FF"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ња</w:t>
            </w:r>
            <w:r w:rsidR="00885AB6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 xml:space="preserve"> о</w:t>
            </w:r>
            <w:r w:rsidRPr="002342D9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буке</w:t>
            </w:r>
          </w:p>
          <w:p w14:paraId="3826B0C3" w14:textId="77777777" w:rsidR="005A230A" w:rsidRPr="002342D9" w:rsidRDefault="005A230A" w:rsidP="00593D8C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</w:tc>
        <w:tc>
          <w:tcPr>
            <w:tcW w:w="10700" w:type="dxa"/>
            <w:shd w:val="clear" w:color="auto" w:fill="F2F2F2" w:themeFill="background1" w:themeFillShade="F2"/>
          </w:tcPr>
          <w:p w14:paraId="3F57F93D" w14:textId="77777777" w:rsidR="00BF0E70" w:rsidRPr="00BF0E70" w:rsidRDefault="00BF0E70" w:rsidP="00BF0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BF0E70">
              <w:rPr>
                <w:rFonts w:ascii="Cambria" w:hAnsi="Cambria"/>
                <w:sz w:val="20"/>
                <w:szCs w:val="20"/>
                <w:lang w:val="sr-Cyrl-BA"/>
              </w:rPr>
              <w:t>Обука се може држати као класична обука у учионици или вебинар.</w:t>
            </w:r>
          </w:p>
          <w:p w14:paraId="2D016F2E" w14:textId="77777777" w:rsidR="00BF0E70" w:rsidRPr="00BF0E70" w:rsidRDefault="00BF0E70" w:rsidP="00BF0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  <w:p w14:paraId="2B12FF45" w14:textId="77777777" w:rsidR="00BF0E70" w:rsidRPr="00BF0E70" w:rsidRDefault="00BF0E70" w:rsidP="00BF0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BF0E70">
              <w:rPr>
                <w:rFonts w:ascii="Cambria" w:hAnsi="Cambria"/>
                <w:sz w:val="20"/>
                <w:szCs w:val="20"/>
                <w:lang w:val="sr-Cyrl-BA"/>
              </w:rPr>
              <w:t>Теоретски дио (презентације) и практични дио (вјежбе).</w:t>
            </w:r>
          </w:p>
          <w:p w14:paraId="12D7BF74" w14:textId="77777777" w:rsidR="00BF0E70" w:rsidRDefault="00BF0E70" w:rsidP="00720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  <w:p w14:paraId="79D88041" w14:textId="1EF0A34E" w:rsidR="00720A3C" w:rsidRDefault="00720A3C" w:rsidP="00720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 xml:space="preserve">Практични дио треба трајати </w:t>
            </w:r>
            <w:r w:rsidR="00200430">
              <w:rPr>
                <w:rFonts w:ascii="Cambria" w:hAnsi="Cambria"/>
                <w:sz w:val="20"/>
                <w:szCs w:val="20"/>
                <w:lang w:val="bs-Latn-BA"/>
              </w:rPr>
              <w:t>2</w:t>
            </w: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>-</w:t>
            </w:r>
            <w:r w:rsidR="00200430">
              <w:rPr>
                <w:rFonts w:ascii="Cambria" w:hAnsi="Cambria"/>
                <w:sz w:val="20"/>
                <w:szCs w:val="20"/>
                <w:lang w:val="bs-Latn-BA"/>
              </w:rPr>
              <w:t>3</w:t>
            </w:r>
            <w:r w:rsidR="00200430">
              <w:rPr>
                <w:rFonts w:ascii="Cambria" w:hAnsi="Cambria"/>
                <w:sz w:val="20"/>
                <w:szCs w:val="20"/>
                <w:lang w:val="sr-Cyrl-RS"/>
              </w:rPr>
              <w:t xml:space="preserve"> часа (</w:t>
            </w: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>цца 30%</w:t>
            </w:r>
            <w:r w:rsidR="00200430">
              <w:rPr>
                <w:rFonts w:ascii="Cambria" w:hAnsi="Cambria"/>
                <w:sz w:val="20"/>
                <w:szCs w:val="20"/>
                <w:lang w:val="sr-Cyrl-BA"/>
              </w:rPr>
              <w:t xml:space="preserve">) </w:t>
            </w:r>
            <w:r w:rsidR="00200430" w:rsidRPr="009469B6">
              <w:rPr>
                <w:rFonts w:ascii="Cambria" w:eastAsia="Arial Unicode MS" w:hAnsi="Cambria"/>
                <w:sz w:val="20"/>
                <w:szCs w:val="20"/>
                <w:lang w:val="hr-BA"/>
              </w:rPr>
              <w:t>сваког дана</w:t>
            </w: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 xml:space="preserve"> обуке. </w:t>
            </w:r>
          </w:p>
          <w:p w14:paraId="01BD49E2" w14:textId="77777777" w:rsidR="00BF0E70" w:rsidRPr="00720A3C" w:rsidRDefault="00BF0E70" w:rsidP="00720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  <w:p w14:paraId="55C817C6" w14:textId="6D683B35" w:rsidR="00720A3C" w:rsidRPr="00720A3C" w:rsidRDefault="00BF0E70" w:rsidP="00720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sz w:val="20"/>
                <w:szCs w:val="20"/>
                <w:lang w:val="sr-Cyrl-BA"/>
              </w:rPr>
              <w:t>Уколико се обука држи у форми в</w:t>
            </w:r>
            <w:r w:rsidR="00720A3C" w:rsidRPr="00720A3C">
              <w:rPr>
                <w:rFonts w:ascii="Cambria" w:hAnsi="Cambria"/>
                <w:sz w:val="20"/>
                <w:szCs w:val="20"/>
                <w:lang w:val="sr-Cyrl-BA"/>
              </w:rPr>
              <w:t xml:space="preserve">ебинара, скраћење њеног трајања треба бити </w:t>
            </w:r>
            <w:r w:rsidR="00EA4453">
              <w:rPr>
                <w:rFonts w:ascii="Cambria" w:hAnsi="Cambria"/>
                <w:sz w:val="20"/>
                <w:szCs w:val="20"/>
                <w:lang w:val="sr-Cyrl-RS"/>
              </w:rPr>
              <w:t>с</w:t>
            </w:r>
            <w:r w:rsidR="00720A3C" w:rsidRPr="00720A3C">
              <w:rPr>
                <w:rFonts w:ascii="Cambria" w:hAnsi="Cambria"/>
                <w:sz w:val="20"/>
                <w:szCs w:val="20"/>
                <w:lang w:val="sr-Cyrl-BA"/>
              </w:rPr>
              <w:t xml:space="preserve">проведено на начин да се </w:t>
            </w:r>
            <w:r w:rsidR="00EA4453">
              <w:rPr>
                <w:rFonts w:ascii="Cambria" w:hAnsi="Cambria"/>
                <w:sz w:val="20"/>
                <w:szCs w:val="20"/>
                <w:lang w:val="sr-Cyrl-BA"/>
              </w:rPr>
              <w:t>обезбиједи</w:t>
            </w:r>
            <w:r w:rsidR="00720A3C" w:rsidRPr="00720A3C">
              <w:rPr>
                <w:rFonts w:ascii="Cambria" w:hAnsi="Cambria"/>
                <w:sz w:val="20"/>
                <w:szCs w:val="20"/>
                <w:lang w:val="sr-Cyrl-BA"/>
              </w:rPr>
              <w:t xml:space="preserve"> пропорционално покривање цјелокупног садржаја (теор</w:t>
            </w:r>
            <w:r w:rsidR="00EA4453">
              <w:rPr>
                <w:rFonts w:ascii="Cambria" w:hAnsi="Cambria"/>
                <w:sz w:val="20"/>
                <w:szCs w:val="20"/>
                <w:lang w:val="sr-Cyrl-BA"/>
              </w:rPr>
              <w:t>етски</w:t>
            </w:r>
            <w:r w:rsidR="00720A3C" w:rsidRPr="00720A3C">
              <w:rPr>
                <w:rFonts w:ascii="Cambria" w:hAnsi="Cambria"/>
                <w:sz w:val="20"/>
                <w:szCs w:val="20"/>
                <w:lang w:val="sr-Cyrl-BA"/>
              </w:rPr>
              <w:t xml:space="preserve"> дио и вјежбе).</w:t>
            </w:r>
          </w:p>
          <w:p w14:paraId="7844FB5E" w14:textId="77777777" w:rsidR="00BF0E70" w:rsidRDefault="00BF0E70" w:rsidP="00720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  <w:p w14:paraId="096C4056" w14:textId="77777777" w:rsidR="00720A3C" w:rsidRPr="00720A3C" w:rsidRDefault="00720A3C" w:rsidP="00720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>Практични дио садржи вјежбе на теме:</w:t>
            </w:r>
          </w:p>
          <w:p w14:paraId="18ECC809" w14:textId="77777777" w:rsidR="00720A3C" w:rsidRPr="00720A3C" w:rsidRDefault="00720A3C" w:rsidP="00720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 xml:space="preserve"> - анализа стања у оквиру тематских приоритета; </w:t>
            </w:r>
          </w:p>
          <w:p w14:paraId="4EC2BBDD" w14:textId="77777777" w:rsidR="00720A3C" w:rsidRPr="00720A3C" w:rsidRDefault="00720A3C" w:rsidP="00720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 xml:space="preserve"> - формулисање проблема примјеном стабла проблема;</w:t>
            </w:r>
          </w:p>
          <w:p w14:paraId="1FADE8C6" w14:textId="77777777" w:rsidR="00720A3C" w:rsidRPr="00720A3C" w:rsidRDefault="00720A3C" w:rsidP="00720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 xml:space="preserve"> - формулисање општиих и специфичних циљева за одабрани тематски оквир;</w:t>
            </w:r>
          </w:p>
          <w:p w14:paraId="6DC7C573" w14:textId="77777777" w:rsidR="00720A3C" w:rsidRPr="00720A3C" w:rsidRDefault="00720A3C" w:rsidP="00720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 xml:space="preserve"> - идентификација акција у оквиру тематских приоритета;</w:t>
            </w:r>
          </w:p>
          <w:p w14:paraId="23EEBE98" w14:textId="77777777" w:rsidR="00720A3C" w:rsidRPr="00720A3C" w:rsidRDefault="00720A3C" w:rsidP="00720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 xml:space="preserve"> - формулисање индикатора за мјерење постигнућа циља.</w:t>
            </w:r>
          </w:p>
          <w:p w14:paraId="1912A3C3" w14:textId="77777777" w:rsidR="00720A3C" w:rsidRPr="00720A3C" w:rsidRDefault="00720A3C" w:rsidP="00720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  <w:p w14:paraId="7B2141CF" w14:textId="77777777" w:rsidR="005A230A" w:rsidRDefault="00720A3C" w:rsidP="00720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720A3C">
              <w:rPr>
                <w:rFonts w:ascii="Cambria" w:hAnsi="Cambria"/>
                <w:sz w:val="20"/>
                <w:szCs w:val="20"/>
                <w:lang w:val="sr-Cyrl-BA"/>
              </w:rPr>
              <w:t>Обуком је предвиђено одржавање квиза провјере знања на крају сваке цјелине, односно укупно 3 квиза.</w:t>
            </w:r>
          </w:p>
          <w:p w14:paraId="45E69776" w14:textId="77777777" w:rsidR="00BF0E70" w:rsidRPr="002342D9" w:rsidRDefault="00BF0E70" w:rsidP="00720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</w:tc>
      </w:tr>
    </w:tbl>
    <w:p w14:paraId="47839694" w14:textId="77777777" w:rsidR="00761B97" w:rsidRPr="002342D9" w:rsidRDefault="00761B97">
      <w:pPr>
        <w:rPr>
          <w:lang w:val="sr-Cyrl-BA"/>
        </w:rPr>
      </w:pPr>
    </w:p>
    <w:sectPr w:rsidR="00761B97" w:rsidRPr="002342D9" w:rsidSect="008C1A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7F6F"/>
    <w:multiLevelType w:val="hybridMultilevel"/>
    <w:tmpl w:val="75247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F5285"/>
    <w:multiLevelType w:val="hybridMultilevel"/>
    <w:tmpl w:val="D8EA44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5941A7"/>
    <w:multiLevelType w:val="hybridMultilevel"/>
    <w:tmpl w:val="B58EA106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B81C5D"/>
    <w:multiLevelType w:val="hybridMultilevel"/>
    <w:tmpl w:val="AE767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AA5B37"/>
    <w:multiLevelType w:val="hybridMultilevel"/>
    <w:tmpl w:val="2654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23903"/>
    <w:multiLevelType w:val="hybridMultilevel"/>
    <w:tmpl w:val="840EB25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57596"/>
    <w:multiLevelType w:val="hybridMultilevel"/>
    <w:tmpl w:val="BC50F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669B0"/>
    <w:multiLevelType w:val="hybridMultilevel"/>
    <w:tmpl w:val="8CE25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CF4CAA"/>
    <w:multiLevelType w:val="hybridMultilevel"/>
    <w:tmpl w:val="9286B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672C7"/>
    <w:multiLevelType w:val="hybridMultilevel"/>
    <w:tmpl w:val="C6A8BC54"/>
    <w:lvl w:ilvl="0" w:tplc="62FE3B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0A253B"/>
    <w:multiLevelType w:val="hybridMultilevel"/>
    <w:tmpl w:val="F25E947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15E57"/>
    <w:multiLevelType w:val="hybridMultilevel"/>
    <w:tmpl w:val="D10C6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3B35E4"/>
    <w:multiLevelType w:val="hybridMultilevel"/>
    <w:tmpl w:val="B704C8A8"/>
    <w:lvl w:ilvl="0" w:tplc="09F8E1F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F2F29"/>
    <w:multiLevelType w:val="hybridMultilevel"/>
    <w:tmpl w:val="2E9452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012185"/>
    <w:multiLevelType w:val="hybridMultilevel"/>
    <w:tmpl w:val="85547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DB4246"/>
    <w:multiLevelType w:val="hybridMultilevel"/>
    <w:tmpl w:val="7C36A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45061"/>
    <w:multiLevelType w:val="hybridMultilevel"/>
    <w:tmpl w:val="D8B65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7725013">
    <w:abstractNumId w:val="5"/>
  </w:num>
  <w:num w:numId="2" w16cid:durableId="1085345309">
    <w:abstractNumId w:val="2"/>
  </w:num>
  <w:num w:numId="3" w16cid:durableId="1645696221">
    <w:abstractNumId w:val="0"/>
  </w:num>
  <w:num w:numId="4" w16cid:durableId="1711488166">
    <w:abstractNumId w:val="14"/>
  </w:num>
  <w:num w:numId="5" w16cid:durableId="1925263820">
    <w:abstractNumId w:val="7"/>
  </w:num>
  <w:num w:numId="6" w16cid:durableId="1491292187">
    <w:abstractNumId w:val="3"/>
  </w:num>
  <w:num w:numId="7" w16cid:durableId="504636107">
    <w:abstractNumId w:val="1"/>
  </w:num>
  <w:num w:numId="8" w16cid:durableId="1260404930">
    <w:abstractNumId w:val="10"/>
  </w:num>
  <w:num w:numId="9" w16cid:durableId="328406889">
    <w:abstractNumId w:val="12"/>
  </w:num>
  <w:num w:numId="10" w16cid:durableId="651451812">
    <w:abstractNumId w:val="13"/>
  </w:num>
  <w:num w:numId="11" w16cid:durableId="737635092">
    <w:abstractNumId w:val="4"/>
  </w:num>
  <w:num w:numId="12" w16cid:durableId="2096049238">
    <w:abstractNumId w:val="11"/>
  </w:num>
  <w:num w:numId="13" w16cid:durableId="1867018414">
    <w:abstractNumId w:val="9"/>
  </w:num>
  <w:num w:numId="14" w16cid:durableId="406148268">
    <w:abstractNumId w:val="8"/>
  </w:num>
  <w:num w:numId="15" w16cid:durableId="910771653">
    <w:abstractNumId w:val="6"/>
  </w:num>
  <w:num w:numId="16" w16cid:durableId="1739329579">
    <w:abstractNumId w:val="15"/>
  </w:num>
  <w:num w:numId="17" w16cid:durableId="17856856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59F"/>
    <w:rsid w:val="00072EDC"/>
    <w:rsid w:val="000936DE"/>
    <w:rsid w:val="000C3C03"/>
    <w:rsid w:val="000F5DDD"/>
    <w:rsid w:val="00156993"/>
    <w:rsid w:val="0019782D"/>
    <w:rsid w:val="001F0D6E"/>
    <w:rsid w:val="00200430"/>
    <w:rsid w:val="002342D9"/>
    <w:rsid w:val="00241A88"/>
    <w:rsid w:val="003C41B5"/>
    <w:rsid w:val="00406F77"/>
    <w:rsid w:val="004076F8"/>
    <w:rsid w:val="0041553A"/>
    <w:rsid w:val="00466C9C"/>
    <w:rsid w:val="004A1B53"/>
    <w:rsid w:val="005011D7"/>
    <w:rsid w:val="005A230A"/>
    <w:rsid w:val="005A66EA"/>
    <w:rsid w:val="00615F77"/>
    <w:rsid w:val="00633468"/>
    <w:rsid w:val="006476B3"/>
    <w:rsid w:val="00652EFF"/>
    <w:rsid w:val="00696542"/>
    <w:rsid w:val="006C1879"/>
    <w:rsid w:val="006F17F6"/>
    <w:rsid w:val="00720A3C"/>
    <w:rsid w:val="00761B97"/>
    <w:rsid w:val="007D7022"/>
    <w:rsid w:val="00885AB6"/>
    <w:rsid w:val="008B4C58"/>
    <w:rsid w:val="008F5667"/>
    <w:rsid w:val="00A10796"/>
    <w:rsid w:val="00B61B74"/>
    <w:rsid w:val="00BB69B4"/>
    <w:rsid w:val="00BC0292"/>
    <w:rsid w:val="00BF0E70"/>
    <w:rsid w:val="00C270A5"/>
    <w:rsid w:val="00C6313E"/>
    <w:rsid w:val="00CA7561"/>
    <w:rsid w:val="00D46A5C"/>
    <w:rsid w:val="00D51E5B"/>
    <w:rsid w:val="00DB5CA7"/>
    <w:rsid w:val="00DC765D"/>
    <w:rsid w:val="00DE380C"/>
    <w:rsid w:val="00E013FF"/>
    <w:rsid w:val="00E64087"/>
    <w:rsid w:val="00E96A60"/>
    <w:rsid w:val="00EA4453"/>
    <w:rsid w:val="00EB759F"/>
    <w:rsid w:val="00F0463A"/>
    <w:rsid w:val="00F40ECD"/>
    <w:rsid w:val="00F536C6"/>
    <w:rsid w:val="00F84338"/>
    <w:rsid w:val="00F9652D"/>
    <w:rsid w:val="00FB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D21E"/>
  <w15:chartTrackingRefBased/>
  <w15:docId w15:val="{3AE6ABE1-0FBF-43B4-A06F-07949DE3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EB759F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Tamnatabelareetke5-isticanje1">
    <w:name w:val="Grid Table 5 Dark Accent 1"/>
    <w:basedOn w:val="Normalnatabela"/>
    <w:uiPriority w:val="50"/>
    <w:rsid w:val="00EB75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aragrafspiska">
    <w:name w:val="List Paragraph"/>
    <w:basedOn w:val="Normalno"/>
    <w:uiPriority w:val="34"/>
    <w:qFormat/>
    <w:rsid w:val="00EB7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AF49A-725A-4509-BFF8-3295A043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Mijatović</dc:creator>
  <cp:keywords/>
  <dc:description/>
  <cp:lastModifiedBy>Suzana Mijatović</cp:lastModifiedBy>
  <cp:revision>3</cp:revision>
  <cp:lastPrinted>2021-01-18T11:26:00Z</cp:lastPrinted>
  <dcterms:created xsi:type="dcterms:W3CDTF">2024-01-25T11:35:00Z</dcterms:created>
  <dcterms:modified xsi:type="dcterms:W3CDTF">2024-01-25T12:05:00Z</dcterms:modified>
</cp:coreProperties>
</file>