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6C2B" w14:textId="77777777" w:rsidR="00581A14" w:rsidRPr="00603F04" w:rsidRDefault="00581A14" w:rsidP="00581A14">
      <w:pPr>
        <w:tabs>
          <w:tab w:val="left" w:pos="3300"/>
          <w:tab w:val="center" w:pos="4536"/>
        </w:tabs>
        <w:ind w:left="993" w:firstLine="3942"/>
        <w:rPr>
          <w:rFonts w:cs="Times New Roman"/>
          <w:smallCaps/>
          <w:noProof/>
        </w:rPr>
      </w:pPr>
      <w:bookmarkStart w:id="0" w:name="_Toc73090729"/>
      <w:bookmarkStart w:id="1" w:name="_Toc47101939"/>
      <w:bookmarkStart w:id="2" w:name="_Toc51270433"/>
      <w:r w:rsidRPr="00603F04">
        <w:rPr>
          <w:rFonts w:cs="Times New Roman"/>
          <w:noProof/>
          <w:lang w:eastAsia="en-IE"/>
        </w:rPr>
        <w:drawing>
          <wp:anchor distT="0" distB="0" distL="114300" distR="114300" simplePos="0" relativeHeight="251658240" behindDoc="1" locked="0" layoutInCell="1" allowOverlap="1" wp14:anchorId="7440069C" wp14:editId="574A8150">
            <wp:simplePos x="0" y="0"/>
            <wp:positionH relativeFrom="column">
              <wp:posOffset>-3810</wp:posOffset>
            </wp:positionH>
            <wp:positionV relativeFrom="paragraph">
              <wp:posOffset>0</wp:posOffset>
            </wp:positionV>
            <wp:extent cx="1219200" cy="857250"/>
            <wp:effectExtent l="0" t="0" r="0" b="0"/>
            <wp:wrapNone/>
            <wp:docPr id="3" name="Picture 3" descr="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2colors"/>
                    <pic:cNvPicPr>
                      <a:picLocks noChangeAspect="1" noChangeArrowheads="1"/>
                    </pic:cNvPicPr>
                  </pic:nvPicPr>
                  <pic:blipFill>
                    <a:blip r:embed="rId11">
                      <a:lum bright="-12000"/>
                      <a:extLst>
                        <a:ext uri="{28A0092B-C50C-407E-A947-70E740481C1C}">
                          <a14:useLocalDpi xmlns:a14="http://schemas.microsoft.com/office/drawing/2010/main" val="0"/>
                        </a:ext>
                      </a:extLst>
                    </a:blip>
                    <a:srcRect/>
                    <a:stretch>
                      <a:fillRect/>
                    </a:stretch>
                  </pic:blipFill>
                  <pic:spPr bwMode="auto">
                    <a:xfrm>
                      <a:off x="0" y="0"/>
                      <a:ext cx="12192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04">
        <w:rPr>
          <w:rFonts w:cs="Times New Roman"/>
          <w:b/>
          <w:sz w:val="44"/>
          <w:szCs w:val="44"/>
        </w:rPr>
        <w:t>EN</w:t>
      </w:r>
    </w:p>
    <w:p w14:paraId="3998B551" w14:textId="77777777" w:rsidR="00581A14" w:rsidRPr="00761108" w:rsidRDefault="00581A14" w:rsidP="00581A14">
      <w:pPr>
        <w:spacing w:before="360"/>
        <w:ind w:left="284" w:hanging="22"/>
        <w:jc w:val="center"/>
        <w:rPr>
          <w:rFonts w:ascii="EC Square Sans Pro Thin" w:hAnsi="EC Square Sans Pro Thin"/>
          <w:b/>
          <w:smallCaps/>
          <w:noProof/>
          <w:sz w:val="28"/>
          <w:szCs w:val="28"/>
        </w:rPr>
      </w:pPr>
      <w:r w:rsidRPr="00761108">
        <w:rPr>
          <w:b/>
          <w:smallCaps/>
          <w:sz w:val="28"/>
          <w:szCs w:val="28"/>
          <w:u w:val="single"/>
        </w:rPr>
        <w:t>This action is funded by the European Union</w:t>
      </w:r>
    </w:p>
    <w:p w14:paraId="1204E1C8" w14:textId="0E1804B6" w:rsidR="00093B9F" w:rsidRPr="004A4C6A" w:rsidRDefault="427B252D" w:rsidP="00684AE3">
      <w:pPr>
        <w:pStyle w:val="Fichedinformationtitre"/>
        <w:spacing w:after="240"/>
      </w:pPr>
      <w:r w:rsidRPr="004A4C6A">
        <w:rPr>
          <w:smallCaps/>
        </w:rPr>
        <w:t>Multi-country</w:t>
      </w:r>
    </w:p>
    <w:p w14:paraId="3270BC78" w14:textId="08C954A4" w:rsidR="00581A14" w:rsidRDefault="00C736CC" w:rsidP="00581A14">
      <w:pPr>
        <w:pStyle w:val="Fichedinformationtitre"/>
        <w:spacing w:after="240"/>
        <w:rPr>
          <w:smallCaps/>
        </w:rPr>
      </w:pPr>
      <w:r w:rsidRPr="001910AE">
        <w:rPr>
          <w:smallCaps/>
        </w:rPr>
        <w:t xml:space="preserve">ACTION </w:t>
      </w:r>
      <w:r w:rsidR="006241F8">
        <w:rPr>
          <w:smallCaps/>
        </w:rPr>
        <w:t>FICHE 08</w:t>
      </w:r>
      <w:r w:rsidR="00367C97" w:rsidRPr="001910AE">
        <w:rPr>
          <w:smallCaps/>
        </w:rPr>
        <w:t>:</w:t>
      </w:r>
      <w:r w:rsidR="00EC2DEB" w:rsidRPr="001910AE">
        <w:t xml:space="preserve"> Support to the implementation of the Common Regional Market (CRM) and Pillars 1 and 2 of the Growth Plan </w:t>
      </w:r>
    </w:p>
    <w:p w14:paraId="19EA8E11" w14:textId="08FD1486" w:rsidR="00193E63" w:rsidRPr="00684AE3" w:rsidRDefault="00CE4EAB" w:rsidP="003C0CD7">
      <w:r>
        <w:tab/>
      </w:r>
    </w:p>
    <w:p w14:paraId="446E8ED4" w14:textId="77777777" w:rsidR="007C3E5D" w:rsidRPr="00F720A7" w:rsidRDefault="00FD7FCD" w:rsidP="00F720A7">
      <w:pPr>
        <w:pStyle w:val="Heading1"/>
      </w:pPr>
      <w:bookmarkStart w:id="3" w:name="_Toc47101940"/>
      <w:bookmarkStart w:id="4" w:name="_Toc51270434"/>
      <w:bookmarkStart w:id="5" w:name="_Toc73090730"/>
      <w:bookmarkEnd w:id="0"/>
      <w:bookmarkEnd w:id="1"/>
      <w:bookmarkEnd w:id="2"/>
      <w:r w:rsidRPr="00F720A7">
        <w:t>SYNOPSIS</w:t>
      </w:r>
      <w:bookmarkEnd w:id="3"/>
      <w:bookmarkEnd w:id="4"/>
      <w:bookmarkEnd w:id="5"/>
    </w:p>
    <w:p w14:paraId="792F3CD0" w14:textId="15D26DF5" w:rsidR="00D04CC6" w:rsidRPr="003C0CD7" w:rsidRDefault="00FD7FCD" w:rsidP="003C0CD7">
      <w:pPr>
        <w:pStyle w:val="Heading1"/>
        <w:numPr>
          <w:ilvl w:val="1"/>
          <w:numId w:val="1"/>
        </w:numPr>
      </w:pPr>
      <w:bookmarkStart w:id="6" w:name="_Ref58358361"/>
      <w:bookmarkStart w:id="7" w:name="_Toc47101941"/>
      <w:bookmarkStart w:id="8" w:name="_Toc51270435"/>
      <w:bookmarkStart w:id="9" w:name="_Toc73090731"/>
      <w:r w:rsidRPr="003C0CD7">
        <w:t>Action Summary Table</w:t>
      </w:r>
      <w:bookmarkEnd w:id="6"/>
      <w:bookmarkEnd w:id="7"/>
      <w:bookmarkEnd w:id="8"/>
      <w:bookmarkEnd w:id="9"/>
    </w:p>
    <w:tbl>
      <w:tblPr>
        <w:tblW w:w="10632" w:type="dxa"/>
        <w:tblInd w:w="-5" w:type="dxa"/>
        <w:tblLayout w:type="fixed"/>
        <w:tblLook w:val="01E0" w:firstRow="1" w:lastRow="1" w:firstColumn="1" w:lastColumn="1" w:noHBand="0" w:noVBand="0"/>
      </w:tblPr>
      <w:tblGrid>
        <w:gridCol w:w="2127"/>
        <w:gridCol w:w="2409"/>
        <w:gridCol w:w="1843"/>
        <w:gridCol w:w="902"/>
        <w:gridCol w:w="941"/>
        <w:gridCol w:w="2410"/>
      </w:tblGrid>
      <w:tr w:rsidR="001E0154" w:rsidRPr="008704EA" w14:paraId="11FA176B" w14:textId="77777777" w:rsidTr="2E41943B">
        <w:tc>
          <w:tcPr>
            <w:tcW w:w="2127" w:type="dxa"/>
            <w:tcBorders>
              <w:top w:val="single" w:sz="4" w:space="0" w:color="auto"/>
              <w:left w:val="single" w:sz="4" w:space="0" w:color="auto"/>
              <w:bottom w:val="single" w:sz="4" w:space="0" w:color="auto"/>
              <w:right w:val="single" w:sz="4" w:space="0" w:color="auto"/>
            </w:tcBorders>
            <w:shd w:val="clear" w:color="auto" w:fill="auto"/>
          </w:tcPr>
          <w:p w14:paraId="5272A684" w14:textId="455E8674" w:rsidR="001E0154" w:rsidRPr="003C0CD7" w:rsidRDefault="003F31D4" w:rsidP="003F31D4">
            <w:pPr>
              <w:pStyle w:val="Text1"/>
              <w:spacing w:before="60" w:after="60"/>
              <w:ind w:left="0"/>
              <w:jc w:val="left"/>
              <w:rPr>
                <w:b/>
                <w:color w:val="0D0D0D" w:themeColor="text1" w:themeTint="F2"/>
              </w:rPr>
            </w:pPr>
            <w:r w:rsidRPr="003C0CD7">
              <w:rPr>
                <w:b/>
                <w:color w:val="0D0D0D" w:themeColor="text1" w:themeTint="F2"/>
              </w:rPr>
              <w:t>Title</w:t>
            </w:r>
            <w:r w:rsidR="008F0AB6">
              <w:rPr>
                <w:b/>
                <w:color w:val="0D0D0D" w:themeColor="text1" w:themeTint="F2"/>
              </w:rPr>
              <w:t xml:space="preserve"> of the </w:t>
            </w:r>
            <w:r w:rsidR="1C701873" w:rsidRPr="4EDBA809">
              <w:rPr>
                <w:b/>
                <w:bCs/>
                <w:color w:val="0D0D0D" w:themeColor="text1" w:themeTint="F2"/>
              </w:rPr>
              <w:t>a</w:t>
            </w:r>
            <w:r w:rsidR="008F0AB6" w:rsidRPr="4EDBA809">
              <w:rPr>
                <w:b/>
                <w:bCs/>
                <w:color w:val="0D0D0D" w:themeColor="text1" w:themeTint="F2"/>
              </w:rPr>
              <w:t>ction</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0C46C4D7" w14:textId="239BBF0B" w:rsidR="001E0154" w:rsidRPr="003C0CD7" w:rsidRDefault="00EC2DEB" w:rsidP="00760883">
            <w:pPr>
              <w:pStyle w:val="Text1"/>
              <w:spacing w:before="60" w:after="60"/>
              <w:ind w:left="0" w:right="-25"/>
              <w:jc w:val="left"/>
            </w:pPr>
            <w:r w:rsidRPr="00EC2DEB">
              <w:t xml:space="preserve">Support to the implementation of the Common Regional Market (CRM) </w:t>
            </w:r>
            <w:r>
              <w:t xml:space="preserve">and </w:t>
            </w:r>
            <w:r w:rsidRPr="00EC2DEB">
              <w:t>Pillars 1 and 2 of the Growth Plan</w:t>
            </w:r>
          </w:p>
        </w:tc>
      </w:tr>
      <w:tr w:rsidR="00C37CBC" w:rsidRPr="008704EA" w14:paraId="106B4675" w14:textId="77777777" w:rsidTr="2E41943B">
        <w:tc>
          <w:tcPr>
            <w:tcW w:w="2127" w:type="dxa"/>
            <w:tcBorders>
              <w:top w:val="single" w:sz="4" w:space="0" w:color="auto"/>
              <w:left w:val="single" w:sz="4" w:space="0" w:color="auto"/>
              <w:bottom w:val="single" w:sz="4" w:space="0" w:color="auto"/>
              <w:right w:val="single" w:sz="4" w:space="0" w:color="auto"/>
            </w:tcBorders>
            <w:shd w:val="clear" w:color="auto" w:fill="auto"/>
          </w:tcPr>
          <w:p w14:paraId="118C41FA" w14:textId="77777777" w:rsidR="00C37CBC" w:rsidRPr="003C0CD7" w:rsidRDefault="00C37CBC">
            <w:pPr>
              <w:pStyle w:val="Text1"/>
              <w:spacing w:before="60" w:after="60"/>
              <w:ind w:left="0"/>
              <w:jc w:val="left"/>
              <w:rPr>
                <w:b/>
                <w:color w:val="0D0D0D" w:themeColor="text1" w:themeTint="F2"/>
              </w:rPr>
            </w:pPr>
            <w:proofErr w:type="spellStart"/>
            <w:r>
              <w:rPr>
                <w:b/>
                <w:color w:val="0D0D0D" w:themeColor="text1" w:themeTint="F2"/>
              </w:rPr>
              <w:t>Beneficiar</w:t>
            </w:r>
            <w:proofErr w:type="spellEnd"/>
            <w:r>
              <w:rPr>
                <w:b/>
                <w:color w:val="0D0D0D" w:themeColor="text1" w:themeTint="F2"/>
              </w:rPr>
              <w:t>(y)/(</w:t>
            </w:r>
            <w:proofErr w:type="spellStart"/>
            <w:r>
              <w:rPr>
                <w:b/>
                <w:color w:val="0D0D0D" w:themeColor="text1" w:themeTint="F2"/>
              </w:rPr>
              <w:t>ies</w:t>
            </w:r>
            <w:proofErr w:type="spellEnd"/>
            <w:r>
              <w:rPr>
                <w:b/>
                <w:color w:val="0D0D0D" w:themeColor="text1" w:themeTint="F2"/>
              </w:rPr>
              <w:t>)</w:t>
            </w:r>
            <w:r w:rsidRPr="003C0CD7">
              <w:rPr>
                <w:b/>
                <w:color w:val="0D0D0D" w:themeColor="text1" w:themeTint="F2"/>
              </w:rPr>
              <w:t xml:space="preserve"> </w:t>
            </w:r>
            <w:r>
              <w:rPr>
                <w:b/>
                <w:color w:val="0D0D0D" w:themeColor="text1" w:themeTint="F2"/>
              </w:rPr>
              <w:t>of</w:t>
            </w:r>
            <w:r w:rsidRPr="003C0CD7">
              <w:rPr>
                <w:b/>
                <w:color w:val="0D0D0D" w:themeColor="text1" w:themeTint="F2"/>
              </w:rPr>
              <w:t xml:space="preserve"> the action</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40C63EFD" w14:textId="678B61BC" w:rsidR="00C37CBC" w:rsidRPr="003C0CD7" w:rsidRDefault="00EC2DEB">
            <w:pPr>
              <w:spacing w:before="120" w:after="120"/>
              <w:ind w:right="-25"/>
              <w:rPr>
                <w:szCs w:val="24"/>
              </w:rPr>
            </w:pPr>
            <w:r w:rsidRPr="00020462">
              <w:rPr>
                <w:rFonts w:eastAsia="Times New Roman" w:cs="Times New Roman"/>
                <w:szCs w:val="24"/>
              </w:rPr>
              <w:t>Western Balkans (Albania, Bosnia and Herzegovina, Kosovo</w:t>
            </w:r>
            <w:r>
              <w:rPr>
                <w:rFonts w:eastAsia="Times New Roman" w:cs="Times New Roman"/>
                <w:szCs w:val="24"/>
              </w:rPr>
              <w:t>*</w:t>
            </w:r>
            <w:r w:rsidRPr="00020462">
              <w:rPr>
                <w:rFonts w:eastAsia="Times New Roman" w:cs="Times New Roman"/>
                <w:szCs w:val="24"/>
              </w:rPr>
              <w:t>, Montenegro, North Macedonia, and Serbia) and Moldova</w:t>
            </w:r>
            <w:r>
              <w:rPr>
                <w:rStyle w:val="FootnoteReference"/>
                <w:rFonts w:eastAsia="Times New Roman" w:cs="Times New Roman"/>
                <w:szCs w:val="24"/>
              </w:rPr>
              <w:footnoteReference w:id="2"/>
            </w:r>
          </w:p>
        </w:tc>
      </w:tr>
      <w:tr w:rsidR="009D77B9" w:rsidRPr="008704EA" w14:paraId="354973FB" w14:textId="77777777" w:rsidTr="2E41943B">
        <w:trPr>
          <w:trHeight w:val="722"/>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44FBD35" w14:textId="77777777" w:rsidR="009D77B9" w:rsidRPr="003C0CD7" w:rsidRDefault="009D77B9">
            <w:pPr>
              <w:pStyle w:val="Text1"/>
              <w:spacing w:before="60" w:after="60"/>
              <w:ind w:left="0"/>
              <w:jc w:val="left"/>
              <w:rPr>
                <w:b/>
              </w:rPr>
            </w:pPr>
            <w:r>
              <w:rPr>
                <w:b/>
              </w:rPr>
              <w:t>Proposed year of financing</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221A6F99" w14:textId="2537AD53" w:rsidR="009D77B9" w:rsidRDefault="009D77B9">
            <w:pPr>
              <w:jc w:val="left"/>
              <w:rPr>
                <w:lang w:eastAsia="de-DE"/>
              </w:rPr>
            </w:pPr>
            <w:r w:rsidRPr="004A4C6A">
              <w:rPr>
                <w:lang w:eastAsia="de-DE"/>
              </w:rPr>
              <w:t>2025</w:t>
            </w:r>
            <w:r w:rsidR="00EC2DEB" w:rsidRPr="004A4C6A">
              <w:rPr>
                <w:lang w:eastAsia="de-DE"/>
              </w:rPr>
              <w:t xml:space="preserve"> and</w:t>
            </w:r>
            <w:r w:rsidRPr="003C5633">
              <w:rPr>
                <w:lang w:eastAsia="de-DE"/>
              </w:rPr>
              <w:t xml:space="preserve"> </w:t>
            </w:r>
            <w:r w:rsidRPr="004A4C6A">
              <w:rPr>
                <w:lang w:eastAsia="de-DE"/>
              </w:rPr>
              <w:t>2026</w:t>
            </w:r>
          </w:p>
          <w:p w14:paraId="6B381626" w14:textId="77777777" w:rsidR="009D77B9" w:rsidRDefault="009D77B9">
            <w:pPr>
              <w:jc w:val="left"/>
              <w:rPr>
                <w:szCs w:val="24"/>
                <w:highlight w:val="yellow"/>
              </w:rPr>
            </w:pPr>
          </w:p>
          <w:p w14:paraId="61B69A47" w14:textId="44DA98E2" w:rsidR="009D77B9" w:rsidRPr="00760883" w:rsidRDefault="009D77B9">
            <w:pPr>
              <w:jc w:val="left"/>
              <w:rPr>
                <w:lang w:eastAsia="en-IE"/>
              </w:rPr>
            </w:pPr>
          </w:p>
        </w:tc>
      </w:tr>
      <w:tr w:rsidR="00302948" w:rsidRPr="008704EA" w14:paraId="350D1B69" w14:textId="77777777" w:rsidTr="2E41943B">
        <w:trPr>
          <w:trHeight w:val="1474"/>
        </w:trPr>
        <w:tc>
          <w:tcPr>
            <w:tcW w:w="2127" w:type="dxa"/>
            <w:tcBorders>
              <w:top w:val="single" w:sz="4" w:space="0" w:color="auto"/>
              <w:left w:val="single" w:sz="4" w:space="0" w:color="auto"/>
              <w:right w:val="single" w:sz="4" w:space="0" w:color="auto"/>
            </w:tcBorders>
            <w:shd w:val="clear" w:color="auto" w:fill="auto"/>
          </w:tcPr>
          <w:p w14:paraId="4E2A6F3F" w14:textId="77777777" w:rsidR="00302948" w:rsidRPr="003C0CD7" w:rsidDel="00E20375" w:rsidRDefault="00302948" w:rsidP="000C45F3">
            <w:pPr>
              <w:pStyle w:val="Text1"/>
              <w:spacing w:before="60" w:after="60"/>
              <w:ind w:left="0"/>
              <w:jc w:val="left"/>
              <w:rPr>
                <w:b/>
              </w:rPr>
            </w:pPr>
            <w:r w:rsidRPr="003C0CD7">
              <w:rPr>
                <w:b/>
              </w:rPr>
              <w:t xml:space="preserve">OPSYS </w:t>
            </w:r>
          </w:p>
          <w:p w14:paraId="426116E6" w14:textId="2BF1BCDC" w:rsidR="00302948" w:rsidRPr="003C0CD7" w:rsidDel="00E20375" w:rsidRDefault="00302948" w:rsidP="000C45F3">
            <w:pPr>
              <w:pStyle w:val="Text1"/>
              <w:spacing w:before="60" w:after="60"/>
              <w:ind w:left="0"/>
              <w:jc w:val="left"/>
              <w:rPr>
                <w:b/>
              </w:rPr>
            </w:pPr>
          </w:p>
        </w:tc>
        <w:tc>
          <w:tcPr>
            <w:tcW w:w="8505" w:type="dxa"/>
            <w:gridSpan w:val="5"/>
            <w:tcBorders>
              <w:top w:val="single" w:sz="4" w:space="0" w:color="auto"/>
              <w:left w:val="single" w:sz="4" w:space="0" w:color="auto"/>
              <w:right w:val="single" w:sz="4" w:space="0" w:color="auto"/>
            </w:tcBorders>
            <w:shd w:val="clear" w:color="auto" w:fill="auto"/>
          </w:tcPr>
          <w:p w14:paraId="102A2196" w14:textId="77777777" w:rsidR="00302948" w:rsidRPr="003C0CD7" w:rsidRDefault="00302948" w:rsidP="00D310C3">
            <w:pPr>
              <w:pStyle w:val="Text1"/>
              <w:spacing w:before="60" w:after="60"/>
              <w:ind w:left="0" w:right="-25"/>
              <w:jc w:val="left"/>
              <w:rPr>
                <w:highlight w:val="yellow"/>
              </w:rPr>
            </w:pPr>
            <w:r w:rsidRPr="004A4C6A">
              <w:t xml:space="preserve">OPSYS </w:t>
            </w:r>
            <w:r>
              <w:t xml:space="preserve">Action: </w:t>
            </w:r>
            <w:r w:rsidRPr="004F1899">
              <w:t>ACT-XXXXX</w:t>
            </w:r>
          </w:p>
          <w:p w14:paraId="3B573C80" w14:textId="5C24E98E" w:rsidR="00302948" w:rsidRDefault="00302948" w:rsidP="00D76775">
            <w:pPr>
              <w:pStyle w:val="Text1"/>
              <w:spacing w:before="60" w:after="60"/>
              <w:ind w:left="0" w:right="-25"/>
              <w:jc w:val="left"/>
              <w:rPr>
                <w:highlight w:val="yellow"/>
              </w:rPr>
            </w:pPr>
            <w:r w:rsidRPr="00D310C3">
              <w:t>Commitment level 1 number:</w:t>
            </w:r>
          </w:p>
          <w:p w14:paraId="1CB8DF81" w14:textId="0F20D44A" w:rsidR="00302948" w:rsidRPr="00A37CC5" w:rsidRDefault="63D8138B" w:rsidP="005428C2">
            <w:pPr>
              <w:pStyle w:val="Text1"/>
              <w:spacing w:before="60" w:after="60"/>
              <w:ind w:left="0" w:right="-25"/>
              <w:jc w:val="left"/>
            </w:pPr>
            <w:r w:rsidRPr="004F1899">
              <w:t>XXXXXX</w:t>
            </w:r>
            <w:r w:rsidR="42828D27">
              <w:t xml:space="preserve"> (allocation 2025)</w:t>
            </w:r>
          </w:p>
          <w:p w14:paraId="21B843C8" w14:textId="797CDD57" w:rsidR="00302948" w:rsidRPr="003C0CD7" w:rsidRDefault="314420F1" w:rsidP="00D76775">
            <w:pPr>
              <w:pStyle w:val="Text1"/>
              <w:spacing w:before="60" w:after="60"/>
              <w:ind w:left="0" w:right="-25"/>
              <w:jc w:val="left"/>
              <w:rPr>
                <w:highlight w:val="yellow"/>
              </w:rPr>
            </w:pPr>
            <w:r w:rsidRPr="004F1899">
              <w:t xml:space="preserve">XXXXXX </w:t>
            </w:r>
            <w:r w:rsidR="42828D27" w:rsidRPr="2E41943B">
              <w:rPr>
                <w:lang w:val="fr-BE"/>
              </w:rPr>
              <w:t>(allocation 2026)</w:t>
            </w:r>
          </w:p>
        </w:tc>
      </w:tr>
      <w:tr w:rsidR="004E5BC0" w:rsidRPr="008704EA" w14:paraId="6B91289C" w14:textId="77777777" w:rsidTr="2E41943B">
        <w:tc>
          <w:tcPr>
            <w:tcW w:w="2127" w:type="dxa"/>
            <w:tcBorders>
              <w:top w:val="single" w:sz="4" w:space="0" w:color="auto"/>
              <w:left w:val="single" w:sz="4" w:space="0" w:color="auto"/>
              <w:bottom w:val="single" w:sz="4" w:space="0" w:color="auto"/>
              <w:right w:val="single" w:sz="4" w:space="0" w:color="auto"/>
            </w:tcBorders>
            <w:shd w:val="clear" w:color="auto" w:fill="auto"/>
          </w:tcPr>
          <w:p w14:paraId="35071F03" w14:textId="77777777" w:rsidR="004E5BC0" w:rsidRPr="003C0CD7" w:rsidDel="00E20375" w:rsidRDefault="004E5BC0" w:rsidP="003F31D4">
            <w:pPr>
              <w:pStyle w:val="Text1"/>
              <w:spacing w:before="60" w:after="60"/>
              <w:ind w:left="0"/>
              <w:jc w:val="left"/>
              <w:rPr>
                <w:b/>
                <w:color w:val="0D0D0D" w:themeColor="text1" w:themeTint="F2"/>
              </w:rPr>
            </w:pPr>
            <w:r w:rsidRPr="003C0CD7">
              <w:rPr>
                <w:b/>
                <w:color w:val="0D0D0D" w:themeColor="text1" w:themeTint="F2"/>
              </w:rPr>
              <w:t>Basic Act</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6D3D812A" w14:textId="77777777" w:rsidR="004E5BC0" w:rsidRPr="003C0CD7" w:rsidRDefault="004E5BC0" w:rsidP="00053C4A">
            <w:pPr>
              <w:pStyle w:val="Text1"/>
              <w:spacing w:before="60" w:after="60"/>
              <w:ind w:left="0" w:right="-25"/>
              <w:jc w:val="left"/>
              <w:rPr>
                <w:highlight w:val="yellow"/>
              </w:rPr>
            </w:pPr>
            <w:r w:rsidRPr="003C0CD7">
              <w:t>Financed under the Instrument for Pre-accession Assistance (IPA III)</w:t>
            </w:r>
          </w:p>
        </w:tc>
      </w:tr>
      <w:tr w:rsidR="00F54A1B" w:rsidRPr="008704EA" w14:paraId="705E765A" w14:textId="77777777" w:rsidTr="2E41943B">
        <w:trPr>
          <w:trHeight w:val="913"/>
        </w:trPr>
        <w:tc>
          <w:tcPr>
            <w:tcW w:w="2127" w:type="dxa"/>
            <w:tcBorders>
              <w:top w:val="single" w:sz="4" w:space="0" w:color="auto"/>
              <w:left w:val="single" w:sz="4" w:space="0" w:color="auto"/>
              <w:bottom w:val="single" w:sz="4" w:space="0" w:color="FFFFFF" w:themeColor="background1"/>
              <w:right w:val="single" w:sz="4" w:space="0" w:color="auto"/>
            </w:tcBorders>
            <w:shd w:val="clear" w:color="auto" w:fill="auto"/>
          </w:tcPr>
          <w:p w14:paraId="3ACFC85B" w14:textId="7C700B22" w:rsidR="00F54A1B" w:rsidRDefault="00F54A1B" w:rsidP="00990EC8">
            <w:pPr>
              <w:pStyle w:val="Text1"/>
              <w:spacing w:before="60" w:after="60"/>
              <w:ind w:left="0"/>
              <w:jc w:val="left"/>
              <w:rPr>
                <w:b/>
                <w:color w:val="0D0D0D" w:themeColor="text1" w:themeTint="F2"/>
              </w:rPr>
            </w:pPr>
            <w:r>
              <w:rPr>
                <w:b/>
                <w:color w:val="0D0D0D" w:themeColor="text1" w:themeTint="F2"/>
              </w:rPr>
              <w:t>Economic and Investment Plan</w:t>
            </w:r>
            <w:r w:rsidR="00CF7516">
              <w:rPr>
                <w:b/>
                <w:color w:val="0D0D0D" w:themeColor="text1" w:themeTint="F2"/>
              </w:rPr>
              <w:t xml:space="preserve"> (EIP)</w:t>
            </w:r>
          </w:p>
          <w:p w14:paraId="43054475" w14:textId="77777777" w:rsidR="00510C2C" w:rsidRDefault="00510C2C" w:rsidP="00990EC8">
            <w:pPr>
              <w:pStyle w:val="Text1"/>
              <w:spacing w:before="60" w:after="60"/>
              <w:ind w:left="0"/>
              <w:jc w:val="left"/>
              <w:rPr>
                <w:b/>
                <w:color w:val="0D0D0D" w:themeColor="text1" w:themeTint="F2"/>
              </w:rPr>
            </w:pPr>
          </w:p>
          <w:p w14:paraId="0A6759DF" w14:textId="77777777" w:rsidR="00510C2C" w:rsidRDefault="00510C2C" w:rsidP="00990EC8">
            <w:pPr>
              <w:pStyle w:val="Text1"/>
              <w:spacing w:before="60" w:after="60"/>
              <w:ind w:left="0"/>
              <w:jc w:val="left"/>
              <w:rPr>
                <w:b/>
                <w:color w:val="0D0D0D" w:themeColor="text1" w:themeTint="F2"/>
              </w:rPr>
            </w:pPr>
          </w:p>
          <w:p w14:paraId="2DC32013" w14:textId="2777ED36" w:rsidR="00A57281" w:rsidRPr="004A4C6A" w:rsidRDefault="00510C2C" w:rsidP="004A4C6A">
            <w:pPr>
              <w:pStyle w:val="Text1"/>
              <w:spacing w:before="60" w:after="0"/>
              <w:ind w:left="0"/>
              <w:jc w:val="left"/>
            </w:pPr>
            <w:r>
              <w:rPr>
                <w:b/>
                <w:color w:val="0D0D0D" w:themeColor="text1" w:themeTint="F2"/>
              </w:rPr>
              <w:t>EIP Flagship</w:t>
            </w:r>
          </w:p>
        </w:tc>
        <w:tc>
          <w:tcPr>
            <w:tcW w:w="8505" w:type="dxa"/>
            <w:gridSpan w:val="5"/>
            <w:tcBorders>
              <w:top w:val="single" w:sz="4" w:space="0" w:color="auto"/>
              <w:left w:val="single" w:sz="4" w:space="0" w:color="auto"/>
              <w:bottom w:val="single" w:sz="4" w:space="0" w:color="FFFFFF" w:themeColor="background1"/>
              <w:right w:val="single" w:sz="4" w:space="0" w:color="auto"/>
            </w:tcBorders>
            <w:shd w:val="clear" w:color="auto" w:fill="auto"/>
          </w:tcPr>
          <w:p w14:paraId="466E38F3" w14:textId="3ED3F015" w:rsidR="0029776E" w:rsidRPr="00A86D86" w:rsidRDefault="0029776E" w:rsidP="0029776E">
            <w:pPr>
              <w:pStyle w:val="Text1"/>
              <w:spacing w:before="60" w:after="60"/>
              <w:ind w:left="0" w:right="-25"/>
              <w:jc w:val="left"/>
              <w:rPr>
                <w:lang w:eastAsia="de-DE"/>
              </w:rPr>
            </w:pPr>
            <w:r>
              <w:rPr>
                <w:lang w:eastAsia="de-DE"/>
              </w:rPr>
              <w:t>Yes</w:t>
            </w:r>
          </w:p>
          <w:p w14:paraId="15F7F5D7" w14:textId="03419042" w:rsidR="586F9225" w:rsidRDefault="0029776E" w:rsidP="0396CF18">
            <w:pPr>
              <w:jc w:val="left"/>
              <w:rPr>
                <w:lang w:eastAsia="en-IE"/>
              </w:rPr>
            </w:pPr>
            <w:r w:rsidRPr="0396CF18">
              <w:rPr>
                <w:lang w:eastAsia="en-IE"/>
              </w:rPr>
              <w:t xml:space="preserve">Economic development (incl. private sector, </w:t>
            </w:r>
            <w:proofErr w:type="gramStart"/>
            <w:r w:rsidRPr="0396CF18">
              <w:rPr>
                <w:lang w:eastAsia="en-IE"/>
              </w:rPr>
              <w:t>trade</w:t>
            </w:r>
            <w:proofErr w:type="gramEnd"/>
            <w:r w:rsidRPr="0396CF18">
              <w:rPr>
                <w:lang w:eastAsia="en-IE"/>
              </w:rPr>
              <w:t xml:space="preserve"> and macroeconomic support)</w:t>
            </w:r>
            <w:r w:rsidR="00F11D09">
              <w:rPr>
                <w:lang w:eastAsia="en-IE"/>
              </w:rPr>
              <w:t>;</w:t>
            </w:r>
            <w:r w:rsidRPr="0396CF18">
              <w:rPr>
                <w:lang w:eastAsia="en-IE"/>
              </w:rPr>
              <w:t xml:space="preserve"> human development (incl. human capital and youth)</w:t>
            </w:r>
            <w:r w:rsidR="00F11D09">
              <w:rPr>
                <w:lang w:eastAsia="en-IE"/>
              </w:rPr>
              <w:t>; e</w:t>
            </w:r>
            <w:r w:rsidR="586F9225" w:rsidRPr="0396CF18">
              <w:rPr>
                <w:lang w:eastAsia="en-IE"/>
              </w:rPr>
              <w:t xml:space="preserve">nergy; </w:t>
            </w:r>
            <w:r w:rsidR="002E2531">
              <w:rPr>
                <w:lang w:eastAsia="en-IE"/>
              </w:rPr>
              <w:t>e</w:t>
            </w:r>
            <w:r w:rsidR="002E2531" w:rsidRPr="0396CF18">
              <w:rPr>
                <w:lang w:eastAsia="en-IE"/>
              </w:rPr>
              <w:t>nvironment</w:t>
            </w:r>
            <w:r w:rsidR="586F9225" w:rsidRPr="0396CF18">
              <w:rPr>
                <w:lang w:eastAsia="en-IE"/>
              </w:rPr>
              <w:t xml:space="preserve"> and climate resilience</w:t>
            </w:r>
          </w:p>
          <w:p w14:paraId="7957BE01" w14:textId="43811814" w:rsidR="0396CF18" w:rsidRDefault="0396CF18" w:rsidP="0396CF18">
            <w:pPr>
              <w:jc w:val="left"/>
              <w:rPr>
                <w:lang w:eastAsia="en-IE"/>
              </w:rPr>
            </w:pPr>
          </w:p>
          <w:p w14:paraId="21887DFC" w14:textId="36270928" w:rsidR="0396CF18" w:rsidRDefault="00753BED" w:rsidP="0396CF18">
            <w:pPr>
              <w:jc w:val="left"/>
              <w:rPr>
                <w:lang w:eastAsia="en-IE"/>
              </w:rPr>
            </w:pPr>
            <w:r>
              <w:rPr>
                <w:lang w:eastAsia="en-IE"/>
              </w:rPr>
              <w:t>20</w:t>
            </w:r>
            <w:r w:rsidR="00B33F4C">
              <w:rPr>
                <w:lang w:eastAsia="en-IE"/>
              </w:rPr>
              <w:t xml:space="preserve">% share of the budget towards </w:t>
            </w:r>
            <w:r w:rsidR="586F9225" w:rsidRPr="0396CF18">
              <w:rPr>
                <w:lang w:eastAsia="en-IE"/>
              </w:rPr>
              <w:t>flagship 8</w:t>
            </w:r>
            <w:r w:rsidR="00A50001">
              <w:rPr>
                <w:lang w:eastAsia="en-IE"/>
              </w:rPr>
              <w:t xml:space="preserve"> – digital future</w:t>
            </w:r>
          </w:p>
          <w:p w14:paraId="1D62BFA2" w14:textId="2AEAE8B7" w:rsidR="00DA4A97" w:rsidRPr="00212B20" w:rsidRDefault="006B6945" w:rsidP="004A4C6A">
            <w:pPr>
              <w:pStyle w:val="Text1"/>
              <w:spacing w:before="60" w:after="0"/>
              <w:ind w:left="0" w:right="-23"/>
              <w:jc w:val="left"/>
              <w:rPr>
                <w:lang w:eastAsia="en-IE"/>
              </w:rPr>
            </w:pPr>
            <w:r>
              <w:rPr>
                <w:lang w:eastAsia="de-DE"/>
              </w:rPr>
              <w:t>10</w:t>
            </w:r>
            <w:r w:rsidR="0029776E" w:rsidRPr="0396CF18">
              <w:rPr>
                <w:lang w:eastAsia="de-DE"/>
              </w:rPr>
              <w:t>% share of the budget towards flagship 9 – investing in the competitiveness of the private sector</w:t>
            </w:r>
          </w:p>
        </w:tc>
      </w:tr>
      <w:tr w:rsidR="004D48FC" w:rsidRPr="008704EA" w14:paraId="580BC069" w14:textId="77777777" w:rsidTr="2E41943B">
        <w:tc>
          <w:tcPr>
            <w:tcW w:w="2127" w:type="dxa"/>
            <w:tcBorders>
              <w:top w:val="single" w:sz="4" w:space="0" w:color="FFFFFF" w:themeColor="background1"/>
              <w:left w:val="single" w:sz="4" w:space="0" w:color="auto"/>
              <w:bottom w:val="single" w:sz="4" w:space="0" w:color="auto"/>
              <w:right w:val="single" w:sz="4" w:space="0" w:color="auto"/>
            </w:tcBorders>
            <w:shd w:val="clear" w:color="auto" w:fill="auto"/>
          </w:tcPr>
          <w:p w14:paraId="72EF45FD" w14:textId="0790C1B4" w:rsidR="004D48FC" w:rsidRDefault="004D48FC" w:rsidP="00990EC8">
            <w:pPr>
              <w:pStyle w:val="Text1"/>
              <w:spacing w:before="60" w:after="60"/>
              <w:ind w:left="0"/>
              <w:jc w:val="left"/>
              <w:rPr>
                <w:b/>
                <w:color w:val="0D0D0D" w:themeColor="text1" w:themeTint="F2"/>
              </w:rPr>
            </w:pPr>
          </w:p>
        </w:tc>
        <w:tc>
          <w:tcPr>
            <w:tcW w:w="8505" w:type="dxa"/>
            <w:gridSpan w:val="5"/>
            <w:tcBorders>
              <w:top w:val="single" w:sz="4" w:space="0" w:color="FFFFFF" w:themeColor="background1"/>
              <w:left w:val="single" w:sz="4" w:space="0" w:color="auto"/>
              <w:bottom w:val="single" w:sz="4" w:space="0" w:color="auto"/>
              <w:right w:val="single" w:sz="4" w:space="0" w:color="auto"/>
            </w:tcBorders>
            <w:shd w:val="clear" w:color="auto" w:fill="auto"/>
          </w:tcPr>
          <w:p w14:paraId="2F472964" w14:textId="64545444" w:rsidR="004D48FC" w:rsidRDefault="004D48FC" w:rsidP="004A4C6A">
            <w:pPr>
              <w:jc w:val="left"/>
              <w:rPr>
                <w:highlight w:val="lightGray"/>
                <w:lang w:eastAsia="de-DE"/>
              </w:rPr>
            </w:pPr>
          </w:p>
        </w:tc>
      </w:tr>
      <w:tr w:rsidR="00FB5323" w:rsidRPr="008704EA" w14:paraId="0D114DA3" w14:textId="77777777" w:rsidTr="2E41943B">
        <w:tc>
          <w:tcPr>
            <w:tcW w:w="2127" w:type="dxa"/>
            <w:tcBorders>
              <w:top w:val="single" w:sz="4" w:space="0" w:color="auto"/>
              <w:left w:val="single" w:sz="4" w:space="0" w:color="auto"/>
              <w:bottom w:val="single" w:sz="4" w:space="0" w:color="auto"/>
              <w:right w:val="single" w:sz="4" w:space="0" w:color="auto"/>
            </w:tcBorders>
            <w:shd w:val="clear" w:color="auto" w:fill="auto"/>
          </w:tcPr>
          <w:p w14:paraId="55E1693D" w14:textId="154418FF" w:rsidR="00FB5323" w:rsidRPr="003C0CD7" w:rsidRDefault="00FB5323" w:rsidP="00990EC8">
            <w:pPr>
              <w:pStyle w:val="Text1"/>
              <w:spacing w:before="60" w:after="60"/>
              <w:ind w:left="0"/>
              <w:jc w:val="left"/>
              <w:rPr>
                <w:b/>
                <w:color w:val="0D0D0D" w:themeColor="text1" w:themeTint="F2"/>
              </w:rPr>
            </w:pPr>
            <w:r w:rsidRPr="003C0CD7">
              <w:rPr>
                <w:b/>
                <w:color w:val="0D0D0D" w:themeColor="text1" w:themeTint="F2"/>
              </w:rPr>
              <w:t>Team Europe</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67F069A2" w14:textId="48FD4C9A" w:rsidR="00FB5323" w:rsidRPr="003C0CD7" w:rsidRDefault="006372A7" w:rsidP="004A4C6A">
            <w:pPr>
              <w:pStyle w:val="Text1"/>
              <w:spacing w:before="60" w:after="60"/>
              <w:ind w:left="0" w:right="-25"/>
              <w:jc w:val="left"/>
            </w:pPr>
            <w:r>
              <w:rPr>
                <w:lang w:eastAsia="de-DE"/>
              </w:rPr>
              <w:t>No</w:t>
            </w:r>
          </w:p>
        </w:tc>
      </w:tr>
      <w:tr w:rsidR="001E0154" w:rsidRPr="008704EA" w14:paraId="10C74559" w14:textId="77777777" w:rsidTr="2E41943B">
        <w:tc>
          <w:tcPr>
            <w:tcW w:w="2127" w:type="dxa"/>
            <w:tcBorders>
              <w:top w:val="single" w:sz="4" w:space="0" w:color="auto"/>
              <w:left w:val="single" w:sz="4" w:space="0" w:color="auto"/>
              <w:bottom w:val="single" w:sz="4" w:space="0" w:color="auto"/>
              <w:right w:val="single" w:sz="4" w:space="0" w:color="auto"/>
            </w:tcBorders>
            <w:shd w:val="clear" w:color="auto" w:fill="auto"/>
          </w:tcPr>
          <w:p w14:paraId="5D7673B6" w14:textId="77777777" w:rsidR="001E0154" w:rsidRPr="003C0CD7" w:rsidRDefault="001E0154" w:rsidP="00E20375">
            <w:pPr>
              <w:pStyle w:val="Text1"/>
              <w:spacing w:before="60" w:after="60"/>
              <w:ind w:left="0"/>
              <w:jc w:val="left"/>
              <w:rPr>
                <w:b/>
                <w:color w:val="0D0D0D" w:themeColor="text1" w:themeTint="F2"/>
              </w:rPr>
            </w:pPr>
            <w:r w:rsidRPr="003C0CD7">
              <w:rPr>
                <w:b/>
                <w:color w:val="0D0D0D" w:themeColor="text1" w:themeTint="F2"/>
              </w:rPr>
              <w:t>Programming document</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2441F100" w14:textId="77777777" w:rsidR="001E0154" w:rsidRPr="003C0CD7" w:rsidRDefault="005C2C9B" w:rsidP="00C87704">
            <w:pPr>
              <w:spacing w:before="120" w:after="120"/>
              <w:ind w:right="-25"/>
              <w:rPr>
                <w:rFonts w:cs="Times New Roman"/>
                <w:color w:val="0D0D0D" w:themeColor="text1" w:themeTint="F2"/>
                <w:szCs w:val="24"/>
              </w:rPr>
            </w:pPr>
            <w:r w:rsidRPr="003C0CD7">
              <w:rPr>
                <w:szCs w:val="24"/>
              </w:rPr>
              <w:t>IPA III Programming Framework</w:t>
            </w:r>
          </w:p>
        </w:tc>
      </w:tr>
      <w:tr w:rsidR="00BF051C" w:rsidRPr="008704EA" w14:paraId="19C7218F" w14:textId="77777777" w:rsidTr="2E41943B">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47BC3196" w14:textId="77777777" w:rsidR="00BF051C" w:rsidRPr="003C0CD7" w:rsidRDefault="008B15AE" w:rsidP="00313272">
            <w:pPr>
              <w:jc w:val="center"/>
              <w:rPr>
                <w:b/>
                <w:szCs w:val="24"/>
                <w:lang w:eastAsia="de-DE"/>
              </w:rPr>
            </w:pPr>
            <w:r w:rsidRPr="003C0CD7">
              <w:rPr>
                <w:b/>
                <w:szCs w:val="24"/>
              </w:rPr>
              <w:t xml:space="preserve">PRIORITY AREAS AND </w:t>
            </w:r>
            <w:r w:rsidR="00BF051C" w:rsidRPr="003C0CD7">
              <w:rPr>
                <w:b/>
                <w:szCs w:val="24"/>
              </w:rPr>
              <w:t>SECTOR INFORMATION</w:t>
            </w:r>
          </w:p>
        </w:tc>
      </w:tr>
      <w:tr w:rsidR="00433309" w:rsidRPr="008704EA" w14:paraId="0D29056B" w14:textId="77777777" w:rsidTr="2E41943B">
        <w:tc>
          <w:tcPr>
            <w:tcW w:w="2127" w:type="dxa"/>
            <w:tcBorders>
              <w:top w:val="single" w:sz="4" w:space="0" w:color="auto"/>
              <w:left w:val="single" w:sz="4" w:space="0" w:color="auto"/>
              <w:bottom w:val="single" w:sz="4" w:space="0" w:color="auto"/>
              <w:right w:val="single" w:sz="4" w:space="0" w:color="auto"/>
            </w:tcBorders>
            <w:shd w:val="clear" w:color="auto" w:fill="auto"/>
          </w:tcPr>
          <w:p w14:paraId="075F2B2B" w14:textId="340C163E" w:rsidR="00433309" w:rsidRPr="003C0CD7" w:rsidRDefault="00F50118" w:rsidP="00B97C91">
            <w:pPr>
              <w:pStyle w:val="Text1"/>
              <w:spacing w:before="0" w:after="0"/>
              <w:ind w:left="0"/>
              <w:jc w:val="left"/>
              <w:rPr>
                <w:b/>
                <w:color w:val="0D0D0D" w:themeColor="text1" w:themeTint="F2"/>
              </w:rPr>
            </w:pPr>
            <w:r w:rsidRPr="003C0CD7">
              <w:rPr>
                <w:b/>
                <w:color w:val="0D0D0D" w:themeColor="text1" w:themeTint="F2"/>
              </w:rPr>
              <w:t>Window</w:t>
            </w:r>
            <w:r w:rsidR="00B97C91" w:rsidRPr="003C0CD7">
              <w:rPr>
                <w:b/>
                <w:color w:val="0D0D0D" w:themeColor="text1" w:themeTint="F2"/>
              </w:rPr>
              <w:t xml:space="preserve"> and</w:t>
            </w:r>
            <w:r w:rsidR="00D46E4D" w:rsidRPr="003C0CD7">
              <w:rPr>
                <w:b/>
                <w:color w:val="0D0D0D" w:themeColor="text1" w:themeTint="F2"/>
              </w:rPr>
              <w:t xml:space="preserve"> </w:t>
            </w:r>
            <w:r w:rsidR="00B97C91" w:rsidRPr="003C0CD7">
              <w:rPr>
                <w:b/>
                <w:color w:val="0D0D0D" w:themeColor="text1" w:themeTint="F2"/>
              </w:rPr>
              <w:t>thematic p</w:t>
            </w:r>
            <w:r w:rsidRPr="003C0CD7">
              <w:rPr>
                <w:b/>
                <w:color w:val="0D0D0D" w:themeColor="text1" w:themeTint="F2"/>
              </w:rPr>
              <w:t>riority</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6907B748" w14:textId="4EBE0DD5" w:rsidR="00635A0A" w:rsidRDefault="00635A0A" w:rsidP="00635A0A">
            <w:pPr>
              <w:pStyle w:val="Text1"/>
              <w:spacing w:before="60" w:after="60"/>
              <w:ind w:left="0" w:right="-25"/>
              <w:jc w:val="left"/>
            </w:pPr>
            <w:r>
              <w:t xml:space="preserve">Window </w:t>
            </w:r>
            <w:r w:rsidR="00EC2DEB">
              <w:t xml:space="preserve">4 </w:t>
            </w:r>
            <w:r w:rsidR="00EC2DEB" w:rsidRPr="00EC2DEB">
              <w:t>Competitiveness and inclusive growth</w:t>
            </w:r>
          </w:p>
          <w:p w14:paraId="0707B19C" w14:textId="07DAFB55" w:rsidR="00C95347" w:rsidRDefault="00C95347" w:rsidP="00635A0A">
            <w:pPr>
              <w:pStyle w:val="Text1"/>
              <w:spacing w:before="60" w:after="60"/>
              <w:ind w:left="0" w:right="-25"/>
              <w:jc w:val="left"/>
            </w:pPr>
            <w:r>
              <w:lastRenderedPageBreak/>
              <w:t>Thematic Priority 1: Education, employment, social protection and inclusion policies, and health</w:t>
            </w:r>
            <w:r w:rsidR="00940196">
              <w:t xml:space="preserve"> (approximate share</w:t>
            </w:r>
            <w:r w:rsidR="00B609DC">
              <w:t xml:space="preserve"> </w:t>
            </w:r>
            <w:r w:rsidR="00932F8A">
              <w:t>2</w:t>
            </w:r>
            <w:r w:rsidR="00045FEE">
              <w:t>0</w:t>
            </w:r>
            <w:r w:rsidR="005E2EF4">
              <w:t>%)</w:t>
            </w:r>
          </w:p>
          <w:p w14:paraId="10C2853D" w14:textId="00505AE0" w:rsidR="0040770C" w:rsidRDefault="0040770C" w:rsidP="00635A0A">
            <w:pPr>
              <w:pStyle w:val="Text1"/>
              <w:spacing w:before="60" w:after="60"/>
              <w:ind w:left="0" w:right="-25"/>
              <w:jc w:val="left"/>
            </w:pPr>
            <w:r>
              <w:t xml:space="preserve">Thematic Priority 2: Private sector development, trade, </w:t>
            </w:r>
            <w:proofErr w:type="gramStart"/>
            <w:r>
              <w:t>research</w:t>
            </w:r>
            <w:proofErr w:type="gramEnd"/>
            <w:r>
              <w:t xml:space="preserve"> and innovation</w:t>
            </w:r>
            <w:r w:rsidR="005E2EF4">
              <w:t xml:space="preserve"> (approximate share </w:t>
            </w:r>
            <w:r w:rsidR="00932F8A">
              <w:t>7</w:t>
            </w:r>
            <w:r w:rsidR="00045FEE">
              <w:t>0</w:t>
            </w:r>
            <w:r w:rsidR="005E2EF4">
              <w:t>%)</w:t>
            </w:r>
          </w:p>
          <w:p w14:paraId="2B523E33" w14:textId="759F0AF2" w:rsidR="00DC0AC4" w:rsidRPr="003C0CD7" w:rsidRDefault="00045FEE" w:rsidP="001E3FBF">
            <w:pPr>
              <w:pStyle w:val="Text1"/>
              <w:spacing w:before="60" w:after="60"/>
              <w:ind w:left="0" w:right="-25"/>
              <w:jc w:val="left"/>
            </w:pPr>
            <w:r>
              <w:t>Thematic Priority 3: Agriculture and rural development (approximate share 10%)</w:t>
            </w:r>
          </w:p>
        </w:tc>
      </w:tr>
      <w:tr w:rsidR="00433309" w:rsidRPr="008704EA" w14:paraId="4721587A" w14:textId="77777777" w:rsidTr="2E41943B">
        <w:tc>
          <w:tcPr>
            <w:tcW w:w="2127" w:type="dxa"/>
            <w:tcBorders>
              <w:top w:val="single" w:sz="4" w:space="0" w:color="auto"/>
              <w:left w:val="single" w:sz="4" w:space="0" w:color="auto"/>
              <w:bottom w:val="single" w:sz="4" w:space="0" w:color="auto"/>
              <w:right w:val="single" w:sz="4" w:space="0" w:color="auto"/>
            </w:tcBorders>
            <w:shd w:val="clear" w:color="auto" w:fill="auto"/>
          </w:tcPr>
          <w:p w14:paraId="79C19A02" w14:textId="77777777" w:rsidR="00433309" w:rsidRPr="003C0CD7" w:rsidRDefault="00433309" w:rsidP="00433309">
            <w:pPr>
              <w:pStyle w:val="Text1"/>
              <w:spacing w:before="0" w:after="0"/>
              <w:ind w:left="0"/>
              <w:jc w:val="left"/>
              <w:rPr>
                <w:b/>
                <w:color w:val="0D0D0D" w:themeColor="text1" w:themeTint="F2"/>
              </w:rPr>
            </w:pPr>
            <w:r w:rsidRPr="003C0CD7">
              <w:rPr>
                <w:b/>
                <w:color w:val="0D0D0D" w:themeColor="text1" w:themeTint="F2"/>
              </w:rPr>
              <w:lastRenderedPageBreak/>
              <w:t>Sustainable Development Goals (SDGs)</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133E2B27" w14:textId="4071A8BB" w:rsidR="00433309" w:rsidRPr="003C0CD7" w:rsidRDefault="00433309" w:rsidP="00433309">
            <w:pPr>
              <w:pStyle w:val="Text1"/>
              <w:spacing w:before="60" w:after="60"/>
              <w:ind w:left="0" w:right="-25"/>
              <w:jc w:val="left"/>
            </w:pPr>
            <w:r w:rsidRPr="003C0CD7">
              <w:t xml:space="preserve">Main SDG (1 only): </w:t>
            </w:r>
            <w:r w:rsidR="00C55BE2" w:rsidRPr="00C55BE2">
              <w:t>Partnership for the Goals</w:t>
            </w:r>
          </w:p>
          <w:p w14:paraId="38E2CC48" w14:textId="77777777" w:rsidR="00433309" w:rsidRDefault="00433309" w:rsidP="00433309">
            <w:pPr>
              <w:pStyle w:val="Text1"/>
              <w:spacing w:before="60" w:after="60"/>
              <w:ind w:left="0" w:right="-25"/>
              <w:jc w:val="left"/>
            </w:pPr>
            <w:r w:rsidRPr="003C0CD7">
              <w:t>Other significant SDGs (up to 9) and</w:t>
            </w:r>
            <w:r w:rsidR="003B564E">
              <w:t>,</w:t>
            </w:r>
            <w:r w:rsidRPr="003C0CD7">
              <w:t xml:space="preserve"> where appropriate, targets:</w:t>
            </w:r>
          </w:p>
          <w:p w14:paraId="30E0AEDB" w14:textId="77777777" w:rsidR="00C55BE2" w:rsidRDefault="00C55BE2" w:rsidP="00C55BE2">
            <w:pPr>
              <w:pStyle w:val="Text1"/>
              <w:spacing w:before="60" w:after="60"/>
              <w:ind w:left="0" w:right="-25"/>
              <w:jc w:val="left"/>
            </w:pPr>
            <w:r w:rsidRPr="001C7B08">
              <w:t xml:space="preserve">SDG </w:t>
            </w:r>
            <w:r>
              <w:t>8 ‘decent work and economic growth’</w:t>
            </w:r>
          </w:p>
          <w:p w14:paraId="36A0E3DF" w14:textId="77777777" w:rsidR="00C55BE2" w:rsidRDefault="00C55BE2" w:rsidP="00C55BE2">
            <w:pPr>
              <w:pStyle w:val="Text1"/>
              <w:spacing w:before="60" w:after="60"/>
              <w:ind w:left="0" w:right="-25"/>
              <w:jc w:val="left"/>
            </w:pPr>
            <w:r>
              <w:t>SDG 12 ‘responsible consumption and production’</w:t>
            </w:r>
          </w:p>
          <w:p w14:paraId="1AF73F0C" w14:textId="0FD25975" w:rsidR="00C55BE2" w:rsidRPr="003C0CD7" w:rsidRDefault="00C55BE2" w:rsidP="10122719">
            <w:pPr>
              <w:pStyle w:val="Text1"/>
              <w:spacing w:before="60" w:after="60"/>
              <w:ind w:left="0" w:right="-25"/>
              <w:jc w:val="left"/>
              <w:rPr>
                <w:highlight w:val="yellow"/>
              </w:rPr>
            </w:pPr>
            <w:r>
              <w:t>SDG 15 ‘life on land’</w:t>
            </w:r>
          </w:p>
          <w:p w14:paraId="530A2459" w14:textId="72552B78" w:rsidR="00C55BE2" w:rsidRPr="003C0CD7" w:rsidRDefault="3C7326B7" w:rsidP="10122719">
            <w:pPr>
              <w:pStyle w:val="Text1"/>
              <w:spacing w:before="60" w:after="60"/>
              <w:ind w:left="0" w:right="-25"/>
              <w:jc w:val="left"/>
            </w:pPr>
            <w:r>
              <w:t>SDG 17 ‘partnerships to achieve the goal’</w:t>
            </w:r>
          </w:p>
        </w:tc>
      </w:tr>
      <w:tr w:rsidR="00433309" w:rsidRPr="00D22975" w14:paraId="4B613589" w14:textId="77777777" w:rsidTr="2E41943B">
        <w:tc>
          <w:tcPr>
            <w:tcW w:w="2127" w:type="dxa"/>
            <w:tcBorders>
              <w:top w:val="single" w:sz="4" w:space="0" w:color="auto"/>
              <w:left w:val="single" w:sz="4" w:space="0" w:color="auto"/>
              <w:bottom w:val="single" w:sz="4" w:space="0" w:color="auto"/>
              <w:right w:val="single" w:sz="4" w:space="0" w:color="auto"/>
            </w:tcBorders>
            <w:shd w:val="clear" w:color="auto" w:fill="auto"/>
          </w:tcPr>
          <w:p w14:paraId="654C1A9B" w14:textId="7173E78A" w:rsidR="00433309" w:rsidRPr="003C0CD7" w:rsidRDefault="00433309" w:rsidP="00E16935">
            <w:pPr>
              <w:pStyle w:val="Text1"/>
              <w:spacing w:before="0" w:after="0"/>
              <w:ind w:left="0"/>
              <w:jc w:val="left"/>
              <w:rPr>
                <w:b/>
                <w:bCs/>
              </w:rPr>
            </w:pPr>
            <w:r w:rsidRPr="003C0CD7">
              <w:rPr>
                <w:b/>
                <w:bCs/>
              </w:rPr>
              <w:t>DAC code(s)</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205E1EE7" w14:textId="45840AAC" w:rsidR="00D22975" w:rsidRPr="004A4C6A" w:rsidRDefault="00D22975" w:rsidP="004A4C6A">
            <w:pPr>
              <w:pStyle w:val="Text1"/>
              <w:spacing w:before="60" w:after="60"/>
              <w:ind w:left="0"/>
            </w:pPr>
            <w:r w:rsidRPr="004A4C6A">
              <w:t xml:space="preserve">33130 – regional trade agreements </w:t>
            </w:r>
            <w:r w:rsidRPr="001252FC">
              <w:t>(</w:t>
            </w:r>
            <w:r w:rsidR="001256C5" w:rsidRPr="001252FC">
              <w:t>50</w:t>
            </w:r>
            <w:r w:rsidRPr="001252FC">
              <w:t>%)</w:t>
            </w:r>
          </w:p>
          <w:p w14:paraId="1A621951" w14:textId="66B44293" w:rsidR="00D22975" w:rsidRPr="00D22975" w:rsidRDefault="00D22975" w:rsidP="006C5639">
            <w:pPr>
              <w:pStyle w:val="Text1"/>
              <w:spacing w:before="60" w:after="60"/>
              <w:ind w:left="0" w:right="-25"/>
              <w:jc w:val="left"/>
            </w:pPr>
            <w:r w:rsidRPr="004A4C6A">
              <w:t>25030 – business development services (</w:t>
            </w:r>
            <w:r w:rsidR="001256C5" w:rsidRPr="001252FC">
              <w:t>10</w:t>
            </w:r>
            <w:r w:rsidRPr="001252FC">
              <w:t>%)</w:t>
            </w:r>
          </w:p>
          <w:p w14:paraId="54AEA79E" w14:textId="12C92FCC" w:rsidR="00433309" w:rsidRPr="004A4C6A" w:rsidRDefault="61E28B94" w:rsidP="006C5639">
            <w:pPr>
              <w:pStyle w:val="Text1"/>
              <w:spacing w:before="60" w:after="60"/>
              <w:ind w:left="0" w:right="-25"/>
              <w:jc w:val="left"/>
              <w:rPr>
                <w:rStyle w:val="FootnoteReference"/>
                <w:lang w:val="en-GB"/>
              </w:rPr>
            </w:pPr>
            <w:r w:rsidRPr="004A4C6A">
              <w:t>43010 - Multisector aid</w:t>
            </w:r>
            <w:r w:rsidR="001E7928">
              <w:t xml:space="preserve"> </w:t>
            </w:r>
            <w:r w:rsidR="001E7928" w:rsidRPr="001252FC">
              <w:t>(</w:t>
            </w:r>
            <w:r w:rsidR="001256C5" w:rsidRPr="001252FC">
              <w:t>40</w:t>
            </w:r>
            <w:r w:rsidR="001E7928" w:rsidRPr="001252FC">
              <w:t>%)</w:t>
            </w:r>
          </w:p>
        </w:tc>
      </w:tr>
      <w:tr w:rsidR="00433309" w:rsidRPr="008704EA" w14:paraId="07ACC19C" w14:textId="77777777" w:rsidTr="2E41943B">
        <w:tc>
          <w:tcPr>
            <w:tcW w:w="2127" w:type="dxa"/>
            <w:tcBorders>
              <w:top w:val="single" w:sz="4" w:space="0" w:color="auto"/>
              <w:left w:val="single" w:sz="4" w:space="0" w:color="auto"/>
              <w:bottom w:val="single" w:sz="4" w:space="0" w:color="auto"/>
              <w:right w:val="single" w:sz="4" w:space="0" w:color="auto"/>
            </w:tcBorders>
            <w:shd w:val="clear" w:color="auto" w:fill="auto"/>
          </w:tcPr>
          <w:p w14:paraId="6B4F9A24" w14:textId="49B02DDB" w:rsidR="00433309" w:rsidRPr="003C0CD7" w:rsidRDefault="00433309" w:rsidP="00433309">
            <w:pPr>
              <w:pStyle w:val="Text1"/>
              <w:spacing w:before="0" w:after="0"/>
              <w:ind w:left="0"/>
              <w:jc w:val="left"/>
              <w:rPr>
                <w:b/>
                <w:bCs/>
              </w:rPr>
            </w:pPr>
            <w:r w:rsidRPr="003C0CD7">
              <w:rPr>
                <w:b/>
                <w:bCs/>
              </w:rPr>
              <w:t xml:space="preserve">Main Delivery   Channel </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13B7A7CB" w14:textId="7BCF82E0" w:rsidR="00D22975" w:rsidRPr="001256C5" w:rsidRDefault="00D22975" w:rsidP="27EA4D23">
            <w:pPr>
              <w:pStyle w:val="Text1"/>
              <w:spacing w:before="60" w:after="60"/>
              <w:ind w:left="0" w:right="-25"/>
              <w:jc w:val="left"/>
              <w:rPr>
                <w:lang w:eastAsia="de-DE"/>
              </w:rPr>
            </w:pPr>
            <w:r w:rsidRPr="003B40CC">
              <w:rPr>
                <w:lang w:eastAsia="de-DE"/>
              </w:rPr>
              <w:t>Other multilateral institution – 47000</w:t>
            </w:r>
          </w:p>
        </w:tc>
      </w:tr>
      <w:tr w:rsidR="00D10305" w:rsidRPr="00C85643" w14:paraId="014BC60E" w14:textId="77777777" w:rsidTr="2E41943B">
        <w:tc>
          <w:tcPr>
            <w:tcW w:w="2127" w:type="dxa"/>
            <w:tcBorders>
              <w:top w:val="single" w:sz="4" w:space="0" w:color="auto"/>
              <w:left w:val="single" w:sz="4" w:space="0" w:color="auto"/>
              <w:bottom w:val="single" w:sz="4" w:space="0" w:color="auto"/>
              <w:right w:val="single" w:sz="4" w:space="0" w:color="auto"/>
            </w:tcBorders>
            <w:shd w:val="clear" w:color="auto" w:fill="auto"/>
          </w:tcPr>
          <w:p w14:paraId="098C2D41" w14:textId="77777777" w:rsidR="00D10305" w:rsidRPr="003C0CD7" w:rsidRDefault="00D10305" w:rsidP="00433309">
            <w:pPr>
              <w:pStyle w:val="Text1"/>
              <w:spacing w:before="0" w:after="0"/>
              <w:ind w:left="0"/>
              <w:jc w:val="left"/>
              <w:rPr>
                <w:b/>
                <w:bCs/>
              </w:rPr>
            </w:pPr>
            <w:r>
              <w:rPr>
                <w:b/>
                <w:bCs/>
              </w:rPr>
              <w:t>Targets</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583CAF65" w14:textId="50AC7D06" w:rsidR="00D10305" w:rsidRPr="00D10305" w:rsidRDefault="00BA266A" w:rsidP="00433309">
            <w:pPr>
              <w:pStyle w:val="Text1"/>
              <w:spacing w:before="60" w:after="60"/>
              <w:ind w:left="0" w:right="-25"/>
              <w:jc w:val="left"/>
              <w:rPr>
                <w:rFonts w:eastAsia="MS Gothic"/>
                <w:color w:val="0D0D0D" w:themeColor="text1" w:themeTint="F2"/>
              </w:rPr>
            </w:pPr>
            <w:sdt>
              <w:sdtPr>
                <w:rPr>
                  <w:rFonts w:eastAsia="MS Gothic"/>
                  <w:color w:val="0D0D0D" w:themeColor="text1" w:themeTint="F2"/>
                </w:rPr>
                <w:id w:val="-1095621497"/>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r w:rsidR="00D10305" w:rsidRPr="00C85643">
              <w:rPr>
                <w:rFonts w:eastAsia="MS Gothic"/>
                <w:color w:val="0D0D0D" w:themeColor="text1" w:themeTint="F2"/>
              </w:rPr>
              <w:t xml:space="preserve"> </w:t>
            </w:r>
            <w:r w:rsidR="00D10305" w:rsidRPr="00D10305">
              <w:rPr>
                <w:rFonts w:eastAsia="MS Gothic"/>
                <w:color w:val="0D0D0D" w:themeColor="text1" w:themeTint="F2"/>
              </w:rPr>
              <w:t>Climate</w:t>
            </w:r>
          </w:p>
          <w:p w14:paraId="2B2196CD" w14:textId="04453D67" w:rsidR="00D10305" w:rsidRPr="00D10305" w:rsidRDefault="00BA266A" w:rsidP="00433309">
            <w:pPr>
              <w:pStyle w:val="Text1"/>
              <w:spacing w:before="60" w:after="60"/>
              <w:ind w:left="0" w:right="-25"/>
              <w:jc w:val="left"/>
              <w:rPr>
                <w:rFonts w:eastAsia="MS Gothic"/>
                <w:color w:val="0D0D0D" w:themeColor="text1" w:themeTint="F2"/>
              </w:rPr>
            </w:pPr>
            <w:sdt>
              <w:sdtPr>
                <w:rPr>
                  <w:rFonts w:eastAsia="MS Gothic"/>
                  <w:color w:val="0D0D0D" w:themeColor="text1" w:themeTint="F2"/>
                </w:rPr>
                <w:id w:val="461931768"/>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r w:rsidR="00D10305" w:rsidRPr="00C85643">
              <w:rPr>
                <w:rFonts w:eastAsia="MS Gothic"/>
                <w:color w:val="0D0D0D" w:themeColor="text1" w:themeTint="F2"/>
              </w:rPr>
              <w:t xml:space="preserve"> Gender</w:t>
            </w:r>
          </w:p>
          <w:p w14:paraId="42A2F989" w14:textId="77777777" w:rsidR="00D10305" w:rsidRPr="00D10305" w:rsidRDefault="00BA266A" w:rsidP="00433309">
            <w:pPr>
              <w:pStyle w:val="Text1"/>
              <w:spacing w:before="60" w:after="60"/>
              <w:ind w:left="0" w:right="-25"/>
              <w:jc w:val="left"/>
              <w:rPr>
                <w:highlight w:val="yellow"/>
                <w:lang w:eastAsia="de-DE"/>
              </w:rPr>
            </w:pPr>
            <w:sdt>
              <w:sdtPr>
                <w:rPr>
                  <w:rFonts w:eastAsia="MS Gothic"/>
                  <w:color w:val="0D0D0D" w:themeColor="text1" w:themeTint="F2"/>
                </w:rPr>
                <w:id w:val="345524675"/>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rPr>
                  <w:t>☐</w:t>
                </w:r>
              </w:sdtContent>
            </w:sdt>
            <w:r w:rsidR="00D10305" w:rsidRPr="00C85643">
              <w:rPr>
                <w:rFonts w:eastAsia="MS Gothic"/>
                <w:color w:val="0D0D0D" w:themeColor="text1" w:themeTint="F2"/>
              </w:rPr>
              <w:t xml:space="preserve"> Biodiversity</w:t>
            </w:r>
          </w:p>
        </w:tc>
      </w:tr>
      <w:tr w:rsidR="00880E95" w:rsidRPr="008704EA" w14:paraId="3E41C58B" w14:textId="77777777" w:rsidTr="2E41943B">
        <w:trPr>
          <w:trHeight w:val="45"/>
        </w:trPr>
        <w:tc>
          <w:tcPr>
            <w:tcW w:w="2127" w:type="dxa"/>
            <w:vMerge w:val="restart"/>
            <w:tcBorders>
              <w:top w:val="single" w:sz="4" w:space="0" w:color="auto"/>
              <w:left w:val="single" w:sz="4" w:space="0" w:color="auto"/>
              <w:right w:val="single" w:sz="4" w:space="0" w:color="auto"/>
            </w:tcBorders>
            <w:shd w:val="clear" w:color="auto" w:fill="auto"/>
          </w:tcPr>
          <w:p w14:paraId="52F9ACED" w14:textId="6F51534F" w:rsidR="00433309" w:rsidRPr="003C0CD7" w:rsidRDefault="00433309" w:rsidP="00433309">
            <w:pPr>
              <w:rPr>
                <w:rFonts w:cs="Times New Roman"/>
                <w:color w:val="0D0D0D" w:themeColor="text1" w:themeTint="F2"/>
                <w:szCs w:val="24"/>
              </w:rPr>
            </w:pPr>
            <w:r w:rsidRPr="003C0CD7">
              <w:rPr>
                <w:rFonts w:cs="Times New Roman"/>
                <w:b/>
                <w:bCs/>
                <w:color w:val="0D0D0D" w:themeColor="text1" w:themeTint="F2"/>
                <w:szCs w:val="24"/>
              </w:rPr>
              <w:t>Markers</w:t>
            </w:r>
          </w:p>
          <w:p w14:paraId="4F6BCF86" w14:textId="77777777" w:rsidR="00433309" w:rsidRPr="003C0CD7" w:rsidRDefault="00433309" w:rsidP="00433309">
            <w:pPr>
              <w:pStyle w:val="Text1"/>
              <w:spacing w:before="0" w:after="0"/>
              <w:ind w:left="0"/>
              <w:jc w:val="left"/>
              <w:rPr>
                <w:b/>
                <w:bCs/>
              </w:rPr>
            </w:pPr>
            <w:r w:rsidRPr="003C0CD7">
              <w:rPr>
                <w:b/>
                <w:color w:val="0D0D0D" w:themeColor="text1" w:themeTint="F2"/>
              </w:rPr>
              <w:t>(from DAC form)</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6051B4C" w14:textId="5BFF225C" w:rsidR="00433309" w:rsidRPr="003C0CD7" w:rsidRDefault="00433309" w:rsidP="00433309">
            <w:pPr>
              <w:pStyle w:val="Text1"/>
              <w:spacing w:before="60" w:after="60"/>
              <w:ind w:left="0" w:right="-25"/>
              <w:jc w:val="left"/>
              <w:rPr>
                <w:highlight w:val="yellow"/>
                <w:lang w:eastAsia="de-DE"/>
              </w:rPr>
            </w:pPr>
            <w:r w:rsidRPr="003C0CD7">
              <w:rPr>
                <w:b/>
                <w:color w:val="0D0D0D" w:themeColor="text1" w:themeTint="F2"/>
              </w:rPr>
              <w:t xml:space="preserve">General policy objective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F527B9" w14:textId="77777777" w:rsidR="00433309" w:rsidRPr="003C0CD7" w:rsidRDefault="00433309" w:rsidP="00433309">
            <w:pPr>
              <w:pStyle w:val="Text1"/>
              <w:spacing w:before="60" w:after="60"/>
              <w:ind w:left="0" w:right="-25"/>
              <w:jc w:val="left"/>
              <w:rPr>
                <w:highlight w:val="yellow"/>
                <w:lang w:eastAsia="de-DE"/>
              </w:rPr>
            </w:pPr>
            <w:r w:rsidRPr="003C0CD7">
              <w:rPr>
                <w:b/>
                <w:color w:val="0D0D0D" w:themeColor="text1" w:themeTint="F2"/>
              </w:rPr>
              <w:t>Not targeted</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2401BA74" w14:textId="77777777" w:rsidR="00433309" w:rsidRPr="003C0CD7" w:rsidRDefault="00433309" w:rsidP="00433309">
            <w:pPr>
              <w:pStyle w:val="Text1"/>
              <w:spacing w:before="60" w:after="60"/>
              <w:ind w:left="0" w:right="-25"/>
              <w:jc w:val="left"/>
              <w:rPr>
                <w:highlight w:val="yellow"/>
                <w:lang w:eastAsia="de-DE"/>
              </w:rPr>
            </w:pPr>
            <w:r w:rsidRPr="003C0CD7">
              <w:rPr>
                <w:b/>
                <w:color w:val="0D0D0D" w:themeColor="text1" w:themeTint="F2"/>
              </w:rPr>
              <w:t>Significant objective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15AAA3C" w14:textId="77777777" w:rsidR="00433309" w:rsidRPr="003C0CD7" w:rsidRDefault="00433309" w:rsidP="00433309">
            <w:pPr>
              <w:pStyle w:val="Text1"/>
              <w:spacing w:before="60" w:after="60"/>
              <w:ind w:left="0" w:right="-25"/>
              <w:jc w:val="left"/>
              <w:rPr>
                <w:highlight w:val="yellow"/>
                <w:lang w:eastAsia="de-DE"/>
              </w:rPr>
            </w:pPr>
            <w:r w:rsidRPr="003C0CD7">
              <w:rPr>
                <w:b/>
                <w:color w:val="0D0D0D" w:themeColor="text1" w:themeTint="F2"/>
              </w:rPr>
              <w:t>Principal objective</w:t>
            </w:r>
          </w:p>
        </w:tc>
      </w:tr>
      <w:tr w:rsidR="00433309" w:rsidRPr="008704EA" w14:paraId="48A49695" w14:textId="77777777" w:rsidTr="2E41943B">
        <w:trPr>
          <w:trHeight w:val="40"/>
        </w:trPr>
        <w:tc>
          <w:tcPr>
            <w:tcW w:w="2127" w:type="dxa"/>
            <w:vMerge/>
          </w:tcPr>
          <w:p w14:paraId="7C44482C" w14:textId="77777777" w:rsidR="00433309" w:rsidRPr="003C0CD7" w:rsidRDefault="00433309" w:rsidP="00433309">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291C8A7" w14:textId="77777777" w:rsidR="00433309" w:rsidRPr="003C0CD7" w:rsidRDefault="00433309" w:rsidP="00433309">
            <w:pPr>
              <w:pStyle w:val="Text1"/>
              <w:spacing w:before="60" w:after="60"/>
              <w:ind w:left="0" w:right="-25"/>
              <w:jc w:val="left"/>
              <w:rPr>
                <w:highlight w:val="yellow"/>
                <w:lang w:eastAsia="de-DE"/>
              </w:rPr>
            </w:pPr>
            <w:r w:rsidRPr="003C0CD7">
              <w:rPr>
                <w:color w:val="0D0D0D" w:themeColor="text1" w:themeTint="F2"/>
              </w:rPr>
              <w:t>Participation development/good governance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B9480"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205889742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60CA035"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3984583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6AE373" w14:textId="1DF5F510"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096832528"/>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r>
      <w:tr w:rsidR="00433309" w:rsidRPr="008704EA" w14:paraId="649B989F" w14:textId="77777777" w:rsidTr="2E41943B">
        <w:trPr>
          <w:trHeight w:val="40"/>
        </w:trPr>
        <w:tc>
          <w:tcPr>
            <w:tcW w:w="2127" w:type="dxa"/>
            <w:vMerge/>
          </w:tcPr>
          <w:p w14:paraId="6D31A9DE" w14:textId="77777777" w:rsidR="00433309" w:rsidRPr="003C0CD7" w:rsidRDefault="00433309" w:rsidP="00433309">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54E9E64" w14:textId="65D5FA99" w:rsidR="00433309" w:rsidRPr="003C0CD7" w:rsidRDefault="00433309" w:rsidP="00433309">
            <w:pPr>
              <w:pStyle w:val="Text1"/>
              <w:spacing w:before="60" w:after="60"/>
              <w:ind w:left="0" w:right="-25"/>
              <w:jc w:val="left"/>
              <w:rPr>
                <w:highlight w:val="yellow"/>
                <w:lang w:eastAsia="de-DE"/>
              </w:rPr>
            </w:pPr>
            <w:r w:rsidRPr="003C0CD7">
              <w:rPr>
                <w:color w:val="0D0D0D" w:themeColor="text1" w:themeTint="F2"/>
              </w:rPr>
              <w:t>Aid to environment</w:t>
            </w:r>
            <w:r w:rsidR="00C146A2">
              <w:rPr>
                <w:color w:val="0D0D0D" w:themeColor="text1" w:themeTint="F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1F15CE"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46379216"/>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7945182" w14:textId="7FC727EC"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936637440"/>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07C19E"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20599548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r>
      <w:tr w:rsidR="00D310C3" w:rsidRPr="008704EA" w14:paraId="5E984A43" w14:textId="77777777" w:rsidTr="2E41943B">
        <w:trPr>
          <w:trHeight w:val="638"/>
        </w:trPr>
        <w:tc>
          <w:tcPr>
            <w:tcW w:w="2127" w:type="dxa"/>
            <w:vMerge/>
          </w:tcPr>
          <w:p w14:paraId="403AFDE1" w14:textId="77777777" w:rsidR="00D310C3" w:rsidRPr="003C0CD7" w:rsidRDefault="00D310C3" w:rsidP="00433309">
            <w:pPr>
              <w:rPr>
                <w:rFonts w:cs="Times New Roman"/>
                <w:b/>
                <w:bCs/>
                <w:color w:val="0D0D0D" w:themeColor="text1" w:themeTint="F2"/>
                <w:szCs w:val="24"/>
              </w:rPr>
            </w:pPr>
          </w:p>
        </w:tc>
        <w:tc>
          <w:tcPr>
            <w:tcW w:w="2409" w:type="dxa"/>
            <w:tcBorders>
              <w:top w:val="single" w:sz="4" w:space="0" w:color="auto"/>
              <w:left w:val="single" w:sz="4" w:space="0" w:color="auto"/>
              <w:right w:val="single" w:sz="4" w:space="0" w:color="auto"/>
            </w:tcBorders>
            <w:shd w:val="clear" w:color="auto" w:fill="auto"/>
          </w:tcPr>
          <w:p w14:paraId="322A6CB7" w14:textId="77777777" w:rsidR="00D310C3" w:rsidRPr="003C0CD7" w:rsidRDefault="00D310C3" w:rsidP="00433309">
            <w:pPr>
              <w:pStyle w:val="Text1"/>
              <w:spacing w:before="60" w:after="60"/>
              <w:ind w:left="0" w:right="-25"/>
              <w:jc w:val="left"/>
              <w:rPr>
                <w:highlight w:val="yellow"/>
                <w:lang w:eastAsia="de-DE"/>
              </w:rPr>
            </w:pPr>
            <w:r w:rsidRPr="003C0CD7">
              <w:rPr>
                <w:color w:val="0D0D0D" w:themeColor="text1" w:themeTint="F2"/>
              </w:rPr>
              <w:t>Gender equality and women’s and girl’s empowerment</w:t>
            </w:r>
          </w:p>
        </w:tc>
        <w:tc>
          <w:tcPr>
            <w:tcW w:w="1843" w:type="dxa"/>
            <w:tcBorders>
              <w:top w:val="single" w:sz="4" w:space="0" w:color="auto"/>
              <w:left w:val="single" w:sz="4" w:space="0" w:color="auto"/>
              <w:right w:val="single" w:sz="4" w:space="0" w:color="auto"/>
            </w:tcBorders>
            <w:shd w:val="clear" w:color="auto" w:fill="auto"/>
          </w:tcPr>
          <w:p w14:paraId="2099895D" w14:textId="77777777" w:rsidR="00D310C3"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896649658"/>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rPr>
                  <w:t>☐</w:t>
                </w:r>
              </w:sdtContent>
            </w:sdt>
          </w:p>
        </w:tc>
        <w:tc>
          <w:tcPr>
            <w:tcW w:w="1843" w:type="dxa"/>
            <w:gridSpan w:val="2"/>
            <w:tcBorders>
              <w:top w:val="single" w:sz="4" w:space="0" w:color="auto"/>
              <w:left w:val="single" w:sz="4" w:space="0" w:color="auto"/>
              <w:right w:val="single" w:sz="4" w:space="0" w:color="auto"/>
            </w:tcBorders>
            <w:shd w:val="clear" w:color="auto" w:fill="auto"/>
          </w:tcPr>
          <w:p w14:paraId="3D37894E" w14:textId="16538305" w:rsidR="00D310C3"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351844034"/>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2410" w:type="dxa"/>
            <w:tcBorders>
              <w:top w:val="single" w:sz="4" w:space="0" w:color="auto"/>
              <w:left w:val="single" w:sz="4" w:space="0" w:color="auto"/>
              <w:right w:val="single" w:sz="4" w:space="0" w:color="auto"/>
            </w:tcBorders>
            <w:shd w:val="clear" w:color="auto" w:fill="auto"/>
          </w:tcPr>
          <w:p w14:paraId="169B4AFB" w14:textId="77777777" w:rsidR="00D310C3"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800831899"/>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rPr>
                  <w:t>☐</w:t>
                </w:r>
              </w:sdtContent>
            </w:sdt>
          </w:p>
        </w:tc>
      </w:tr>
      <w:tr w:rsidR="00433309" w:rsidRPr="008704EA" w14:paraId="022EBB68" w14:textId="77777777" w:rsidTr="2E41943B">
        <w:trPr>
          <w:trHeight w:val="40"/>
        </w:trPr>
        <w:tc>
          <w:tcPr>
            <w:tcW w:w="2127" w:type="dxa"/>
            <w:vMerge/>
          </w:tcPr>
          <w:p w14:paraId="1365C655" w14:textId="77777777" w:rsidR="00433309" w:rsidRPr="003C0CD7" w:rsidRDefault="00433309" w:rsidP="00433309">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766420" w14:textId="77777777" w:rsidR="00433309" w:rsidRPr="003C0CD7" w:rsidRDefault="00433309" w:rsidP="00433309">
            <w:pPr>
              <w:pStyle w:val="Text1"/>
              <w:spacing w:before="60" w:after="60"/>
              <w:ind w:left="0" w:right="-25"/>
              <w:jc w:val="left"/>
              <w:rPr>
                <w:highlight w:val="yellow"/>
                <w:lang w:eastAsia="de-DE"/>
              </w:rPr>
            </w:pPr>
            <w:r w:rsidRPr="003C0CD7">
              <w:rPr>
                <w:color w:val="0D0D0D" w:themeColor="text1" w:themeTint="F2"/>
              </w:rPr>
              <w:t>Reproductive, maternal, new-born and child health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EBF0C6" w14:textId="1CD61B14"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409768690"/>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080AAE8"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08938036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294AFE"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31314576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r>
      <w:tr w:rsidR="00433309" w:rsidRPr="008704EA" w14:paraId="4CBE52E2" w14:textId="77777777" w:rsidTr="2E41943B">
        <w:trPr>
          <w:trHeight w:val="40"/>
        </w:trPr>
        <w:tc>
          <w:tcPr>
            <w:tcW w:w="2127" w:type="dxa"/>
            <w:vMerge/>
          </w:tcPr>
          <w:p w14:paraId="55D8430C" w14:textId="77777777" w:rsidR="00433309" w:rsidRPr="003C0CD7" w:rsidRDefault="00433309" w:rsidP="00433309">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490FB07" w14:textId="5CFBB990" w:rsidR="00433309" w:rsidRPr="003C0CD7" w:rsidRDefault="00433309" w:rsidP="00433309">
            <w:pPr>
              <w:pStyle w:val="Text1"/>
              <w:spacing w:before="60" w:after="60"/>
              <w:ind w:left="0" w:right="-25"/>
              <w:jc w:val="left"/>
              <w:rPr>
                <w:highlight w:val="yellow"/>
                <w:lang w:eastAsia="de-DE"/>
              </w:rPr>
            </w:pPr>
            <w:r w:rsidRPr="003C0CD7">
              <w:rPr>
                <w:color w:val="0D0D0D" w:themeColor="text1" w:themeTint="F2"/>
              </w:rPr>
              <w:t>Disaster Risk Reduction</w:t>
            </w:r>
            <w:r w:rsidR="00C146A2">
              <w:rPr>
                <w:color w:val="0D0D0D" w:themeColor="text1" w:themeTint="F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FB19F4" w14:textId="7C19FA2E"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435281165"/>
                <w14:checkbox>
                  <w14:checked w14:val="1"/>
                  <w14:checkedState w14:val="2612" w14:font="MS Gothic"/>
                  <w14:uncheckedState w14:val="2610" w14:font="MS Gothic"/>
                </w14:checkbox>
              </w:sdtPr>
              <w:sdtEndPr/>
              <w:sdtContent>
                <w:r w:rsidR="2F192F98" w:rsidRPr="4AD9D353">
                  <w:rPr>
                    <w:rFonts w:ascii="MS Gothic" w:eastAsia="MS Gothic" w:hAnsi="MS Gothic" w:cs="Segoe UI Symbol"/>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41F7A62" w14:textId="70D1B2E0"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901362246"/>
                <w14:checkbox>
                  <w14:checked w14:val="0"/>
                  <w14:checkedState w14:val="2612" w14:font="MS Gothic"/>
                  <w14:uncheckedState w14:val="2610" w14:font="MS Gothic"/>
                </w14:checkbox>
              </w:sdtPr>
              <w:sdtEndPr/>
              <w:sdtContent>
                <w:r w:rsidR="5377EB71" w:rsidRPr="4AD9D353">
                  <w:rPr>
                    <w:rFonts w:ascii="MS Gothic" w:eastAsia="MS Gothic" w:hAnsi="MS Gothic" w:cs="Segoe UI Symbol"/>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A6EC27"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927850657"/>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r>
      <w:tr w:rsidR="00433309" w:rsidRPr="008704EA" w14:paraId="3132178E" w14:textId="77777777" w:rsidTr="2E41943B">
        <w:trPr>
          <w:trHeight w:val="40"/>
        </w:trPr>
        <w:tc>
          <w:tcPr>
            <w:tcW w:w="2127" w:type="dxa"/>
            <w:vMerge/>
          </w:tcPr>
          <w:p w14:paraId="3C7E8337" w14:textId="77777777" w:rsidR="00433309" w:rsidRPr="003C0CD7" w:rsidRDefault="00433309" w:rsidP="00433309">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tbl>
            <w:tblPr>
              <w:tblW w:w="3374" w:type="dxa"/>
              <w:tblCellSpacing w:w="0" w:type="dxa"/>
              <w:tblLayout w:type="fixed"/>
              <w:tblCellMar>
                <w:left w:w="0" w:type="dxa"/>
                <w:right w:w="0" w:type="dxa"/>
              </w:tblCellMar>
              <w:tblLook w:val="04A0" w:firstRow="1" w:lastRow="0" w:firstColumn="1" w:lastColumn="0" w:noHBand="0" w:noVBand="1"/>
            </w:tblPr>
            <w:tblGrid>
              <w:gridCol w:w="3374"/>
            </w:tblGrid>
            <w:tr w:rsidR="00433309" w:rsidRPr="008704EA" w14:paraId="77DE60C0" w14:textId="77777777" w:rsidTr="00A73AD0">
              <w:trPr>
                <w:tblCellSpacing w:w="0" w:type="dxa"/>
              </w:trPr>
              <w:tc>
                <w:tcPr>
                  <w:tcW w:w="5000" w:type="pct"/>
                  <w:vAlign w:val="center"/>
                </w:tcPr>
                <w:p w14:paraId="5C7CAA06" w14:textId="77777777" w:rsidR="00433309" w:rsidRPr="003C0CD7" w:rsidRDefault="00433309" w:rsidP="00433309">
                  <w:pPr>
                    <w:pStyle w:val="Text1"/>
                    <w:spacing w:before="0" w:after="0"/>
                    <w:ind w:left="0" w:right="-91"/>
                    <w:jc w:val="left"/>
                    <w:rPr>
                      <w:color w:val="0D0D0D" w:themeColor="text1" w:themeTint="F2"/>
                    </w:rPr>
                  </w:pPr>
                  <w:r w:rsidRPr="003C0CD7">
                    <w:rPr>
                      <w:color w:val="0D0D0D" w:themeColor="text1" w:themeTint="F2"/>
                    </w:rPr>
                    <w:t xml:space="preserve">Inclusion of persons with </w:t>
                  </w:r>
                </w:p>
                <w:p w14:paraId="3593883D" w14:textId="77777777" w:rsidR="00433309" w:rsidRPr="003C0CD7" w:rsidRDefault="00433309" w:rsidP="00433309">
                  <w:pPr>
                    <w:pStyle w:val="Text1"/>
                    <w:spacing w:before="0" w:after="0"/>
                    <w:ind w:left="0" w:right="-91"/>
                    <w:jc w:val="left"/>
                    <w:rPr>
                      <w:color w:val="0D0D0D" w:themeColor="text1" w:themeTint="F2"/>
                    </w:rPr>
                  </w:pPr>
                  <w:r w:rsidRPr="003C0CD7">
                    <w:rPr>
                      <w:color w:val="0D0D0D" w:themeColor="text1" w:themeTint="F2"/>
                    </w:rPr>
                    <w:t>Disabilities</w:t>
                  </w:r>
                </w:p>
              </w:tc>
            </w:tr>
          </w:tbl>
          <w:p w14:paraId="2932A8BA" w14:textId="77777777" w:rsidR="00433309" w:rsidRPr="003C0CD7" w:rsidRDefault="00433309" w:rsidP="00433309">
            <w:pPr>
              <w:pStyle w:val="Text1"/>
              <w:spacing w:before="60" w:after="60"/>
              <w:ind w:left="0" w:right="-25"/>
              <w:jc w:val="left"/>
              <w:rPr>
                <w:highlight w:val="yellow"/>
                <w:lang w:eastAsia="de-D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7FAE88" w14:textId="220DA845"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292835294"/>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8574B69"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96854061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F4B0DE"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722557655"/>
                <w14:checkbox>
                  <w14:checked w14:val="0"/>
                  <w14:checkedState w14:val="2612" w14:font="MS Gothic"/>
                  <w14:uncheckedState w14:val="2610" w14:font="MS Gothic"/>
                </w14:checkbox>
              </w:sdtPr>
              <w:sdtEndPr/>
              <w:sdtContent>
                <w:r w:rsidR="00A7344E">
                  <w:rPr>
                    <w:rFonts w:ascii="MS Gothic" w:eastAsia="MS Gothic" w:hAnsi="MS Gothic" w:cs="Segoe UI Symbol" w:hint="eastAsia"/>
                    <w:color w:val="0D0D0D" w:themeColor="text1" w:themeTint="F2"/>
                  </w:rPr>
                  <w:t>☐</w:t>
                </w:r>
              </w:sdtContent>
            </w:sdt>
          </w:p>
        </w:tc>
      </w:tr>
      <w:tr w:rsidR="00433309" w:rsidRPr="008704EA" w14:paraId="753BD524" w14:textId="77777777" w:rsidTr="2E41943B">
        <w:trPr>
          <w:trHeight w:val="40"/>
        </w:trPr>
        <w:tc>
          <w:tcPr>
            <w:tcW w:w="2127" w:type="dxa"/>
            <w:vMerge/>
          </w:tcPr>
          <w:p w14:paraId="69BE736E" w14:textId="77777777" w:rsidR="00433309" w:rsidRPr="003C0CD7" w:rsidRDefault="00433309" w:rsidP="00433309">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A5F42CA" w14:textId="400ABE6D" w:rsidR="00433309" w:rsidRPr="003C0CD7" w:rsidRDefault="00433309" w:rsidP="00433309">
            <w:pPr>
              <w:pStyle w:val="Text1"/>
              <w:spacing w:before="60" w:after="60"/>
              <w:ind w:left="0" w:right="-25"/>
              <w:jc w:val="left"/>
              <w:rPr>
                <w:highlight w:val="yellow"/>
                <w:lang w:eastAsia="de-DE"/>
              </w:rPr>
            </w:pPr>
            <w:r w:rsidRPr="003C0CD7">
              <w:rPr>
                <w:color w:val="0D0D0D" w:themeColor="text1" w:themeTint="F2"/>
              </w:rPr>
              <w:t>Nutrition</w:t>
            </w:r>
            <w:r w:rsidR="00C146A2">
              <w:rPr>
                <w:color w:val="0D0D0D" w:themeColor="text1" w:themeTint="F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21494" w14:textId="0CD35596"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655291242"/>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62C3965"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63648397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9A2CA67"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510444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r>
      <w:tr w:rsidR="00433309" w:rsidRPr="008704EA" w14:paraId="04D35538" w14:textId="77777777" w:rsidTr="2E41943B">
        <w:trPr>
          <w:trHeight w:val="40"/>
        </w:trPr>
        <w:tc>
          <w:tcPr>
            <w:tcW w:w="2127" w:type="dxa"/>
            <w:vMerge/>
          </w:tcPr>
          <w:p w14:paraId="136CAC82" w14:textId="77777777" w:rsidR="00433309" w:rsidRPr="003C0CD7" w:rsidRDefault="00433309" w:rsidP="00433309">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22B664" w14:textId="773831C3" w:rsidR="00433309" w:rsidRPr="003C0CD7" w:rsidRDefault="00433309" w:rsidP="00433309">
            <w:pPr>
              <w:pStyle w:val="Text1"/>
              <w:spacing w:before="60" w:after="60"/>
              <w:ind w:left="0" w:right="-25"/>
              <w:jc w:val="left"/>
              <w:rPr>
                <w:highlight w:val="yellow"/>
                <w:lang w:eastAsia="de-DE"/>
              </w:rPr>
            </w:pPr>
            <w:r w:rsidRPr="003C0CD7">
              <w:rPr>
                <w:b/>
                <w:color w:val="0D0D0D" w:themeColor="text1" w:themeTint="F2"/>
              </w:rPr>
              <w:t xml:space="preserve">RIO Convention markers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BBF8E4" w14:textId="77777777" w:rsidR="00433309" w:rsidRPr="003C0CD7" w:rsidRDefault="00433309" w:rsidP="00433309">
            <w:pPr>
              <w:pStyle w:val="Text1"/>
              <w:spacing w:before="60" w:after="60"/>
              <w:ind w:left="0" w:right="-25"/>
              <w:jc w:val="left"/>
              <w:rPr>
                <w:highlight w:val="yellow"/>
                <w:lang w:eastAsia="de-DE"/>
              </w:rPr>
            </w:pPr>
            <w:r w:rsidRPr="003C0CD7">
              <w:rPr>
                <w:b/>
                <w:color w:val="0D0D0D" w:themeColor="text1" w:themeTint="F2"/>
              </w:rPr>
              <w:t>Not targeted</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7F47FF24" w14:textId="77777777" w:rsidR="00433309" w:rsidRPr="003C0CD7" w:rsidRDefault="00433309" w:rsidP="00433309">
            <w:pPr>
              <w:pStyle w:val="Text1"/>
              <w:spacing w:before="60" w:after="60"/>
              <w:ind w:left="0" w:right="-25"/>
              <w:jc w:val="left"/>
              <w:rPr>
                <w:highlight w:val="yellow"/>
                <w:lang w:eastAsia="de-DE"/>
              </w:rPr>
            </w:pPr>
            <w:r w:rsidRPr="003C0CD7">
              <w:rPr>
                <w:b/>
                <w:color w:val="0D0D0D" w:themeColor="text1" w:themeTint="F2"/>
              </w:rPr>
              <w:t>Significant objective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81410C0" w14:textId="77777777" w:rsidR="00433309" w:rsidRPr="003C0CD7" w:rsidRDefault="00433309" w:rsidP="00433309">
            <w:pPr>
              <w:pStyle w:val="Text1"/>
              <w:spacing w:before="60" w:after="60"/>
              <w:ind w:left="0" w:right="-25"/>
              <w:jc w:val="left"/>
              <w:rPr>
                <w:highlight w:val="yellow"/>
                <w:lang w:eastAsia="de-DE"/>
              </w:rPr>
            </w:pPr>
            <w:r w:rsidRPr="003C0CD7">
              <w:rPr>
                <w:b/>
                <w:color w:val="0D0D0D" w:themeColor="text1" w:themeTint="F2"/>
              </w:rPr>
              <w:t>Principal objective</w:t>
            </w:r>
          </w:p>
        </w:tc>
      </w:tr>
      <w:tr w:rsidR="00433309" w:rsidRPr="008704EA" w14:paraId="000E67C7" w14:textId="77777777" w:rsidTr="2E41943B">
        <w:trPr>
          <w:trHeight w:val="40"/>
        </w:trPr>
        <w:tc>
          <w:tcPr>
            <w:tcW w:w="2127" w:type="dxa"/>
            <w:vMerge/>
          </w:tcPr>
          <w:p w14:paraId="3A78F30D" w14:textId="77777777" w:rsidR="00433309" w:rsidRPr="003C0CD7" w:rsidRDefault="00433309" w:rsidP="00433309">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D110BEB" w14:textId="41DA01B2" w:rsidR="00433309" w:rsidRPr="003C0CD7" w:rsidRDefault="00433309" w:rsidP="00433309">
            <w:pPr>
              <w:pStyle w:val="Text1"/>
              <w:spacing w:before="60" w:after="60"/>
              <w:ind w:left="0" w:right="-25"/>
              <w:jc w:val="left"/>
              <w:rPr>
                <w:highlight w:val="yellow"/>
                <w:lang w:eastAsia="de-DE"/>
              </w:rPr>
            </w:pPr>
            <w:r w:rsidRPr="003C0CD7">
              <w:rPr>
                <w:color w:val="0D0D0D" w:themeColor="text1" w:themeTint="F2"/>
              </w:rPr>
              <w:t>Biological diversity</w:t>
            </w:r>
            <w:r w:rsidR="00C146A2">
              <w:rPr>
                <w:color w:val="0D0D0D" w:themeColor="text1" w:themeTint="F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031A2D" w14:textId="22871B7C"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012595753"/>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C100816"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814562628"/>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E1328BB"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566485554"/>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r>
      <w:tr w:rsidR="00433309" w:rsidRPr="008704EA" w14:paraId="6BAB0F7C" w14:textId="77777777" w:rsidTr="2E41943B">
        <w:trPr>
          <w:trHeight w:val="40"/>
        </w:trPr>
        <w:tc>
          <w:tcPr>
            <w:tcW w:w="2127" w:type="dxa"/>
            <w:vMerge/>
          </w:tcPr>
          <w:p w14:paraId="43AFE89A" w14:textId="77777777" w:rsidR="00433309" w:rsidRPr="003C0CD7" w:rsidRDefault="00433309" w:rsidP="00433309">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E7B3556" w14:textId="637FED3E" w:rsidR="00433309" w:rsidRPr="003C0CD7" w:rsidRDefault="00433309" w:rsidP="00433309">
            <w:pPr>
              <w:pStyle w:val="Text1"/>
              <w:spacing w:before="60" w:after="60"/>
              <w:ind w:left="0" w:right="-25"/>
              <w:jc w:val="left"/>
              <w:rPr>
                <w:highlight w:val="yellow"/>
                <w:lang w:eastAsia="de-DE"/>
              </w:rPr>
            </w:pPr>
            <w:r w:rsidRPr="003C0CD7">
              <w:rPr>
                <w:color w:val="0D0D0D" w:themeColor="text1" w:themeTint="F2"/>
              </w:rPr>
              <w:t>Combat desertification</w:t>
            </w:r>
            <w:r w:rsidR="00C146A2">
              <w:rPr>
                <w:color w:val="0D0D0D" w:themeColor="text1" w:themeTint="F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BA001A" w14:textId="343627AC"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240904991"/>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5A2D9CF"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11598222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38AB769"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44179901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r>
      <w:tr w:rsidR="00433309" w:rsidRPr="008704EA" w14:paraId="3FE31C81" w14:textId="77777777" w:rsidTr="2E41943B">
        <w:trPr>
          <w:trHeight w:val="40"/>
        </w:trPr>
        <w:tc>
          <w:tcPr>
            <w:tcW w:w="2127" w:type="dxa"/>
            <w:vMerge/>
          </w:tcPr>
          <w:p w14:paraId="1C7DE7CF" w14:textId="77777777" w:rsidR="00433309" w:rsidRPr="003C0CD7" w:rsidRDefault="00433309" w:rsidP="00433309">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532A912" w14:textId="3DBD4CB9" w:rsidR="00433309" w:rsidRPr="003C0CD7" w:rsidRDefault="00433309" w:rsidP="00433309">
            <w:pPr>
              <w:pStyle w:val="Text1"/>
              <w:spacing w:before="60" w:after="60"/>
              <w:ind w:left="0" w:right="-25"/>
              <w:jc w:val="left"/>
              <w:rPr>
                <w:highlight w:val="yellow"/>
                <w:lang w:eastAsia="de-DE"/>
              </w:rPr>
            </w:pPr>
            <w:r w:rsidRPr="003C0CD7">
              <w:rPr>
                <w:color w:val="0D0D0D" w:themeColor="text1" w:themeTint="F2"/>
              </w:rPr>
              <w:t>Climate change mitigation</w:t>
            </w:r>
            <w:r w:rsidR="00C146A2">
              <w:rPr>
                <w:color w:val="0D0D0D" w:themeColor="text1" w:themeTint="F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8CEC36"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782174767"/>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704E90D5" w14:textId="1C9CB57C"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132678762"/>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1172495"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737390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r>
      <w:tr w:rsidR="00433309" w:rsidRPr="008704EA" w14:paraId="0FEEAC3D" w14:textId="77777777" w:rsidTr="2E41943B">
        <w:trPr>
          <w:trHeight w:val="40"/>
        </w:trPr>
        <w:tc>
          <w:tcPr>
            <w:tcW w:w="2127" w:type="dxa"/>
            <w:vMerge/>
          </w:tcPr>
          <w:p w14:paraId="06C9596F" w14:textId="77777777" w:rsidR="00433309" w:rsidRPr="003C0CD7" w:rsidRDefault="00433309" w:rsidP="00433309">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5789F42" w14:textId="22352FF3" w:rsidR="00433309" w:rsidRPr="003C0CD7" w:rsidRDefault="00433309" w:rsidP="00433309">
            <w:pPr>
              <w:pStyle w:val="Text1"/>
              <w:spacing w:before="60" w:after="60"/>
              <w:ind w:left="0" w:right="-25"/>
              <w:jc w:val="left"/>
              <w:rPr>
                <w:highlight w:val="yellow"/>
                <w:lang w:eastAsia="de-DE"/>
              </w:rPr>
            </w:pPr>
            <w:r w:rsidRPr="003C0CD7">
              <w:rPr>
                <w:color w:val="0D0D0D" w:themeColor="text1" w:themeTint="F2"/>
              </w:rPr>
              <w:t>Climate change adaptation</w:t>
            </w:r>
            <w:r w:rsidR="00C146A2">
              <w:rPr>
                <w:color w:val="0D0D0D" w:themeColor="text1" w:themeTint="F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82A010" w14:textId="039B8AAF"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81291880"/>
                <w14:checkbox>
                  <w14:checked w14:val="1"/>
                  <w14:checkedState w14:val="2612" w14:font="MS Gothic"/>
                  <w14:uncheckedState w14:val="2610" w14:font="MS Gothic"/>
                </w14:checkbox>
              </w:sdtPr>
              <w:sdtEndPr/>
              <w:sdtContent>
                <w:r w:rsidR="3BB7F7E1" w:rsidRPr="4AD9D353">
                  <w:rPr>
                    <w:rFonts w:ascii="MS Gothic" w:eastAsia="MS Gothic" w:hAnsi="MS Gothic" w:cs="Segoe UI Symbol"/>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1434DAB" w14:textId="22AE18D2"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890557752"/>
                <w14:checkbox>
                  <w14:checked w14:val="0"/>
                  <w14:checkedState w14:val="2612" w14:font="MS Gothic"/>
                  <w14:uncheckedState w14:val="2610" w14:font="MS Gothic"/>
                </w14:checkbox>
              </w:sdtPr>
              <w:sdtEndPr/>
              <w:sdtContent>
                <w:r w:rsidR="6CAF190C" w:rsidRPr="4AD9D353">
                  <w:rPr>
                    <w:rFonts w:ascii="MS Gothic" w:eastAsia="MS Gothic" w:hAnsi="MS Gothic" w:cs="Segoe UI Symbol"/>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E077A61" w14:textId="77777777" w:rsidR="00433309" w:rsidRPr="003C0CD7" w:rsidRDefault="00BA266A" w:rsidP="00433309">
            <w:pPr>
              <w:pStyle w:val="Text1"/>
              <w:spacing w:before="60" w:after="60"/>
              <w:ind w:left="0" w:right="-25"/>
              <w:jc w:val="left"/>
              <w:rPr>
                <w:highlight w:val="yellow"/>
                <w:lang w:eastAsia="de-DE"/>
              </w:rPr>
            </w:pPr>
            <w:sdt>
              <w:sdtPr>
                <w:rPr>
                  <w:rFonts w:ascii="Segoe UI Symbol" w:eastAsia="MS Gothic" w:hAnsi="Segoe UI Symbol" w:cs="Segoe UI Symbol"/>
                  <w:color w:val="0D0D0D" w:themeColor="text1" w:themeTint="F2"/>
                </w:rPr>
                <w:id w:val="1032463279"/>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rPr>
                  <w:t>☐</w:t>
                </w:r>
              </w:sdtContent>
            </w:sdt>
          </w:p>
        </w:tc>
      </w:tr>
      <w:tr w:rsidR="00880E95" w:rsidRPr="008704EA" w14:paraId="751664F8" w14:textId="77777777" w:rsidTr="2E41943B">
        <w:trPr>
          <w:trHeight w:val="40"/>
        </w:trPr>
        <w:tc>
          <w:tcPr>
            <w:tcW w:w="2127" w:type="dxa"/>
            <w:vMerge w:val="restart"/>
            <w:tcBorders>
              <w:left w:val="single" w:sz="4" w:space="0" w:color="auto"/>
              <w:right w:val="single" w:sz="4" w:space="0" w:color="auto"/>
            </w:tcBorders>
            <w:shd w:val="clear" w:color="auto" w:fill="auto"/>
          </w:tcPr>
          <w:p w14:paraId="52526132" w14:textId="4FCBE4EA" w:rsidR="003A426F" w:rsidRPr="003C0CD7" w:rsidRDefault="003A426F" w:rsidP="002548F3">
            <w:pPr>
              <w:jc w:val="left"/>
              <w:rPr>
                <w:rFonts w:cs="Times New Roman"/>
                <w:b/>
                <w:bCs/>
                <w:color w:val="0D0D0D" w:themeColor="text1" w:themeTint="F2"/>
                <w:szCs w:val="24"/>
              </w:rPr>
            </w:pPr>
            <w:r w:rsidRPr="003C0CD7">
              <w:rPr>
                <w:b/>
                <w:bCs/>
                <w:color w:val="0D0D0D" w:themeColor="text1" w:themeTint="F2"/>
                <w:szCs w:val="24"/>
              </w:rPr>
              <w:t>Internal markers</w:t>
            </w:r>
            <w:r w:rsidR="007230DA">
              <w:rPr>
                <w:b/>
                <w:bCs/>
                <w:color w:val="0D0D0D" w:themeColor="text1" w:themeTint="F2"/>
                <w:szCs w:val="24"/>
              </w:rPr>
              <w:t xml:space="preserve"> and Tags</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D67AE7B" w14:textId="77777777" w:rsidR="003A426F" w:rsidRPr="003C0CD7" w:rsidRDefault="003A426F" w:rsidP="003A426F">
            <w:pPr>
              <w:pStyle w:val="Text1"/>
              <w:spacing w:before="60" w:after="60"/>
              <w:ind w:left="0" w:right="-25"/>
              <w:jc w:val="left"/>
              <w:rPr>
                <w:color w:val="0D0D0D" w:themeColor="text1" w:themeTint="F2"/>
              </w:rPr>
            </w:pPr>
            <w:r w:rsidRPr="003C0CD7">
              <w:rPr>
                <w:b/>
                <w:color w:val="0D0D0D" w:themeColor="text1" w:themeTint="F2"/>
              </w:rPr>
              <w:t>Policy objectives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D6D10"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rPr>
            </w:pPr>
            <w:r w:rsidRPr="003C0CD7">
              <w:rPr>
                <w:b/>
                <w:color w:val="0D0D0D" w:themeColor="text1" w:themeTint="F2"/>
              </w:rPr>
              <w:t>Not targeted</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2B6DEA7C"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rPr>
            </w:pPr>
            <w:r w:rsidRPr="003C0CD7">
              <w:rPr>
                <w:b/>
                <w:color w:val="0D0D0D" w:themeColor="text1" w:themeTint="F2"/>
              </w:rPr>
              <w:t>Significant objective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2C97190"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rPr>
            </w:pPr>
            <w:r w:rsidRPr="003C0CD7">
              <w:rPr>
                <w:b/>
                <w:color w:val="0D0D0D" w:themeColor="text1" w:themeTint="F2"/>
              </w:rPr>
              <w:t>Principal objective</w:t>
            </w:r>
          </w:p>
        </w:tc>
      </w:tr>
      <w:tr w:rsidR="00091845" w:rsidRPr="008704EA" w14:paraId="30A0CC6D" w14:textId="77777777" w:rsidTr="2E41943B">
        <w:trPr>
          <w:trHeight w:val="40"/>
        </w:trPr>
        <w:tc>
          <w:tcPr>
            <w:tcW w:w="2127" w:type="dxa"/>
            <w:vMerge/>
          </w:tcPr>
          <w:p w14:paraId="772C7F1E" w14:textId="77777777" w:rsidR="00091845" w:rsidRPr="003C0CD7" w:rsidRDefault="00091845" w:rsidP="00091845">
            <w:pPr>
              <w:jc w:val="left"/>
              <w:rPr>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1159A03" w14:textId="77777777" w:rsidR="00091845" w:rsidRPr="005D6559" w:rsidRDefault="00091845" w:rsidP="00091845">
            <w:pPr>
              <w:pStyle w:val="Text1"/>
              <w:spacing w:before="60" w:after="60"/>
              <w:ind w:left="0" w:right="-25"/>
              <w:jc w:val="left"/>
              <w:rPr>
                <w:color w:val="0D0D0D" w:themeColor="text1" w:themeTint="F2"/>
              </w:rPr>
            </w:pPr>
            <w:r>
              <w:rPr>
                <w:color w:val="0D0D0D" w:themeColor="text1" w:themeTint="F2"/>
              </w:rPr>
              <w:t>EIP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C21F29" w14:textId="518C601F" w:rsidR="00091845" w:rsidRDefault="00BA266A"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rPr>
                <w:id w:val="1547557220"/>
                <w14:checkbox>
                  <w14:checked w14:val="0"/>
                  <w14:checkedState w14:val="2612" w14:font="MS Gothic"/>
                  <w14:uncheckedState w14:val="2610" w14:font="MS Gothic"/>
                </w14:checkbox>
              </w:sdtPr>
              <w:sdtEndPr/>
              <w:sdtContent>
                <w:r w:rsidR="00091845" w:rsidRPr="003C0CD7">
                  <w:rPr>
                    <w:rFonts w:ascii="MS Gothic" w:eastAsia="MS Gothic" w:hAnsi="MS Gothic" w:cs="Segoe UI Symbol"/>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63238F9" w14:textId="5C19B913" w:rsidR="00091845" w:rsidRDefault="00BA266A"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rPr>
                <w:id w:val="769583294"/>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C0559B" w14:textId="1CB2A83E" w:rsidR="00091845" w:rsidRDefault="00BA266A"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rPr>
                <w:id w:val="486904560"/>
                <w14:checkbox>
                  <w14:checked w14:val="0"/>
                  <w14:checkedState w14:val="2612" w14:font="MS Gothic"/>
                  <w14:uncheckedState w14:val="2610" w14:font="MS Gothic"/>
                </w14:checkbox>
              </w:sdtPr>
              <w:sdtEndPr/>
              <w:sdtContent>
                <w:r w:rsidR="00091845">
                  <w:rPr>
                    <w:rFonts w:ascii="MS Gothic" w:eastAsia="MS Gothic" w:hAnsi="MS Gothic" w:cs="Segoe UI Symbol" w:hint="eastAsia"/>
                    <w:color w:val="0D0D0D" w:themeColor="text1" w:themeTint="F2"/>
                  </w:rPr>
                  <w:t>☐</w:t>
                </w:r>
              </w:sdtContent>
            </w:sdt>
          </w:p>
        </w:tc>
      </w:tr>
      <w:tr w:rsidR="00880E95" w:rsidRPr="008704EA" w14:paraId="51A98BEB" w14:textId="77777777" w:rsidTr="2E41943B">
        <w:trPr>
          <w:trHeight w:val="40"/>
        </w:trPr>
        <w:tc>
          <w:tcPr>
            <w:tcW w:w="2127" w:type="dxa"/>
            <w:vMerge/>
          </w:tcPr>
          <w:p w14:paraId="23CF3AC4" w14:textId="77777777" w:rsidR="00091845" w:rsidRPr="003C0CD7" w:rsidRDefault="00091845" w:rsidP="00C85643">
            <w:pPr>
              <w:jc w:val="left"/>
              <w:rPr>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00E4622" w14:textId="77777777" w:rsidR="00091845" w:rsidRPr="005D6559" w:rsidRDefault="00091845" w:rsidP="007230DA">
            <w:pPr>
              <w:pStyle w:val="Text1"/>
              <w:spacing w:before="60" w:after="60"/>
              <w:ind w:left="0" w:right="-25"/>
              <w:jc w:val="left"/>
              <w:rPr>
                <w:color w:val="0D0D0D" w:themeColor="text1" w:themeTint="F2"/>
              </w:rPr>
            </w:pPr>
            <w:r>
              <w:rPr>
                <w:color w:val="0D0D0D" w:themeColor="text1" w:themeTint="F2"/>
              </w:rPr>
              <w:t>EIP Flagship</w:t>
            </w:r>
          </w:p>
        </w:tc>
        <w:tc>
          <w:tcPr>
            <w:tcW w:w="2745"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3C116C6F" w14:textId="77777777" w:rsidR="00560811" w:rsidRDefault="00560811" w:rsidP="00560811">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p w14:paraId="4BA57FB6" w14:textId="2F5A7A79" w:rsidR="00091845" w:rsidRDefault="00091845" w:rsidP="0082062A">
            <w:pPr>
              <w:pStyle w:val="Text1"/>
              <w:spacing w:before="60" w:after="60"/>
              <w:ind w:left="0" w:right="-25"/>
              <w:jc w:val="center"/>
              <w:rPr>
                <w:rFonts w:eastAsia="MS Gothic"/>
                <w:color w:val="0D0D0D" w:themeColor="text1" w:themeTint="F2"/>
                <w:sz w:val="22"/>
              </w:rPr>
            </w:pPr>
            <w:r w:rsidRPr="003C0CD7">
              <w:rPr>
                <w:rFonts w:ascii="MS Gothic" w:eastAsia="MS Gothic" w:hAnsi="MS Gothic" w:cs="Segoe UI Symbol"/>
                <w:color w:val="0D0D0D" w:themeColor="text1" w:themeTint="F2"/>
              </w:rPr>
              <w:t>☐</w:t>
            </w:r>
          </w:p>
        </w:tc>
        <w:tc>
          <w:tcPr>
            <w:tcW w:w="3351"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1E8F73AA" w14:textId="77777777" w:rsidR="00560811" w:rsidRDefault="00560811" w:rsidP="00560811">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p w14:paraId="400D19F4" w14:textId="7FC83143" w:rsidR="00091845" w:rsidRDefault="00091845" w:rsidP="0082062A">
            <w:pPr>
              <w:pStyle w:val="Text1"/>
              <w:spacing w:before="60" w:after="60"/>
              <w:ind w:left="0" w:right="-25"/>
              <w:jc w:val="center"/>
              <w:rPr>
                <w:rFonts w:eastAsia="MS Gothic"/>
                <w:color w:val="0D0D0D" w:themeColor="text1" w:themeTint="F2"/>
                <w:sz w:val="22"/>
              </w:rPr>
            </w:pPr>
            <w:r>
              <w:rPr>
                <w:rFonts w:ascii="MS Gothic" w:eastAsia="MS Gothic" w:hAnsi="MS Gothic" w:cs="Segoe UI Symbol" w:hint="eastAsia"/>
                <w:color w:val="0D0D0D" w:themeColor="text1" w:themeTint="F2"/>
              </w:rPr>
              <w:t>☐</w:t>
            </w:r>
          </w:p>
        </w:tc>
      </w:tr>
      <w:tr w:rsidR="00880E95" w:rsidRPr="008704EA" w14:paraId="32151A3D" w14:textId="77777777" w:rsidTr="2E41943B">
        <w:trPr>
          <w:trHeight w:val="40"/>
        </w:trPr>
        <w:tc>
          <w:tcPr>
            <w:tcW w:w="2127" w:type="dxa"/>
            <w:vMerge/>
          </w:tcPr>
          <w:p w14:paraId="70698DE2" w14:textId="77777777" w:rsidR="00091845" w:rsidRPr="003C0CD7" w:rsidRDefault="00091845" w:rsidP="00091845">
            <w:pPr>
              <w:jc w:val="left"/>
              <w:rPr>
                <w:b/>
                <w:bCs/>
                <w:color w:val="0D0D0D" w:themeColor="text1" w:themeTint="F2"/>
                <w:szCs w:val="24"/>
              </w:rPr>
            </w:pPr>
          </w:p>
        </w:tc>
        <w:tc>
          <w:tcPr>
            <w:tcW w:w="2409" w:type="dxa"/>
            <w:tcBorders>
              <w:top w:val="single" w:sz="4" w:space="0" w:color="auto"/>
              <w:left w:val="single" w:sz="4" w:space="0" w:color="auto"/>
              <w:bottom w:val="single" w:sz="4" w:space="0" w:color="FFFFFF" w:themeColor="background1"/>
              <w:right w:val="single" w:sz="4" w:space="0" w:color="auto"/>
            </w:tcBorders>
            <w:shd w:val="clear" w:color="auto" w:fill="auto"/>
          </w:tcPr>
          <w:p w14:paraId="1C751D4D" w14:textId="61DE0676" w:rsidR="00091845" w:rsidRPr="0082062A" w:rsidRDefault="00091845" w:rsidP="00091845">
            <w:pPr>
              <w:pStyle w:val="Text1"/>
              <w:spacing w:before="60" w:after="60"/>
              <w:ind w:left="0" w:right="-25"/>
              <w:jc w:val="left"/>
              <w:rPr>
                <w:color w:val="0D0D0D" w:themeColor="text1" w:themeTint="F2"/>
              </w:rPr>
            </w:pPr>
            <w:r w:rsidRPr="0082062A">
              <w:rPr>
                <w:color w:val="0D0D0D" w:themeColor="text1" w:themeTint="F2"/>
              </w:rPr>
              <w:t>Tags</w:t>
            </w:r>
            <w:r>
              <w:rPr>
                <w:color w:val="0D0D0D" w:themeColor="text1" w:themeTint="F2"/>
              </w:rPr>
              <w:t>:</w:t>
            </w:r>
          </w:p>
        </w:tc>
        <w:tc>
          <w:tcPr>
            <w:tcW w:w="2745"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uto"/>
          </w:tcPr>
          <w:p w14:paraId="53F1D2BC" w14:textId="4B64C341" w:rsidR="00091845" w:rsidRPr="00DA4A97" w:rsidRDefault="00560811" w:rsidP="0082062A">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 xml:space="preserve">NO </w:t>
            </w:r>
          </w:p>
        </w:tc>
        <w:tc>
          <w:tcPr>
            <w:tcW w:w="3351"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auto"/>
          </w:tcPr>
          <w:p w14:paraId="7F2E663C" w14:textId="73A37C9C" w:rsidR="00091845" w:rsidRPr="00DA4A97" w:rsidRDefault="00560811" w:rsidP="0082062A">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r w:rsidDel="00560811">
              <w:rPr>
                <w:rFonts w:eastAsia="MS Gothic"/>
                <w:color w:val="0D0D0D" w:themeColor="text1" w:themeTint="F2"/>
                <w:sz w:val="22"/>
              </w:rPr>
              <w:t xml:space="preserve"> </w:t>
            </w:r>
          </w:p>
        </w:tc>
      </w:tr>
      <w:tr w:rsidR="006C5639" w:rsidRPr="008704EA" w14:paraId="1A317078" w14:textId="77777777" w:rsidTr="2E41943B">
        <w:trPr>
          <w:trHeight w:val="40"/>
        </w:trPr>
        <w:tc>
          <w:tcPr>
            <w:tcW w:w="2127" w:type="dxa"/>
            <w:vMerge/>
          </w:tcPr>
          <w:p w14:paraId="6E9C552C" w14:textId="77777777" w:rsidR="00DA4A97" w:rsidRPr="003C0CD7" w:rsidRDefault="00DA4A97" w:rsidP="00091845">
            <w:pPr>
              <w:jc w:val="left"/>
              <w:rPr>
                <w:b/>
                <w:bCs/>
                <w:color w:val="0D0D0D" w:themeColor="text1" w:themeTint="F2"/>
                <w:szCs w:val="24"/>
              </w:rPr>
            </w:pPr>
          </w:p>
        </w:tc>
        <w:tc>
          <w:tcPr>
            <w:tcW w:w="24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E7C6FF8" w14:textId="77777777" w:rsidR="00DA4A97" w:rsidRPr="00DA4A97" w:rsidRDefault="00DA4A97" w:rsidP="00091845">
            <w:pPr>
              <w:pStyle w:val="Text1"/>
              <w:spacing w:before="60" w:after="60"/>
              <w:ind w:left="0" w:right="-25"/>
              <w:jc w:val="left"/>
              <w:rPr>
                <w:color w:val="0D0D0D" w:themeColor="text1" w:themeTint="F2"/>
              </w:rPr>
            </w:pPr>
            <w:r>
              <w:rPr>
                <w:color w:val="0D0D0D" w:themeColor="text1" w:themeTint="F2"/>
              </w:rPr>
              <w:t>T</w:t>
            </w:r>
            <w:r w:rsidRPr="00091845">
              <w:rPr>
                <w:color w:val="0D0D0D" w:themeColor="text1" w:themeTint="F2"/>
              </w:rPr>
              <w:t>ransport</w:t>
            </w:r>
          </w:p>
        </w:tc>
        <w:tc>
          <w:tcPr>
            <w:tcW w:w="2745"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6E06805" w14:textId="490C46A0" w:rsidR="00DA4A97" w:rsidRDefault="00BA266A" w:rsidP="00091845">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722717393"/>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rPr>
                  <w:t>☐</w:t>
                </w:r>
              </w:sdtContent>
            </w:sdt>
          </w:p>
        </w:tc>
        <w:tc>
          <w:tcPr>
            <w:tcW w:w="335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A034315" w14:textId="1DAAC0AD" w:rsidR="00DA4A97" w:rsidRDefault="00BA266A" w:rsidP="00091845">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1938359991"/>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r>
      <w:tr w:rsidR="006C5639" w:rsidRPr="008704EA" w14:paraId="38B5D2A2" w14:textId="77777777" w:rsidTr="2E41943B">
        <w:trPr>
          <w:trHeight w:val="40"/>
        </w:trPr>
        <w:tc>
          <w:tcPr>
            <w:tcW w:w="2127" w:type="dxa"/>
            <w:vMerge/>
          </w:tcPr>
          <w:p w14:paraId="75B47E63" w14:textId="77777777" w:rsidR="00DA4A97" w:rsidRPr="003C0CD7" w:rsidRDefault="00DA4A97" w:rsidP="00DA4A97">
            <w:pPr>
              <w:jc w:val="left"/>
              <w:rPr>
                <w:b/>
                <w:bCs/>
                <w:color w:val="0D0D0D" w:themeColor="text1" w:themeTint="F2"/>
                <w:szCs w:val="24"/>
              </w:rPr>
            </w:pPr>
          </w:p>
        </w:tc>
        <w:tc>
          <w:tcPr>
            <w:tcW w:w="24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28619128" w14:textId="77777777" w:rsidR="00DA4A97" w:rsidRPr="00DA4A97" w:rsidRDefault="00DA4A97" w:rsidP="00DA4A97">
            <w:pPr>
              <w:pStyle w:val="Text1"/>
              <w:spacing w:before="60" w:after="60"/>
              <w:ind w:left="0" w:right="-25"/>
              <w:jc w:val="left"/>
              <w:rPr>
                <w:color w:val="0D0D0D" w:themeColor="text1" w:themeTint="F2"/>
              </w:rPr>
            </w:pPr>
            <w:r>
              <w:rPr>
                <w:color w:val="0D0D0D" w:themeColor="text1" w:themeTint="F2"/>
              </w:rPr>
              <w:t>Energy</w:t>
            </w:r>
          </w:p>
        </w:tc>
        <w:tc>
          <w:tcPr>
            <w:tcW w:w="2745"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20A624E" w14:textId="3AAE5E3A"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640875271"/>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335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36A1BB6" w14:textId="37F0A7B4"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2075731545"/>
                <w14:checkbox>
                  <w14:checked w14:val="0"/>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r>
      <w:tr w:rsidR="006C5639" w:rsidRPr="008704EA" w14:paraId="31D30EEE" w14:textId="77777777" w:rsidTr="2E41943B">
        <w:trPr>
          <w:trHeight w:val="40"/>
        </w:trPr>
        <w:tc>
          <w:tcPr>
            <w:tcW w:w="2127" w:type="dxa"/>
            <w:vMerge/>
          </w:tcPr>
          <w:p w14:paraId="325E6F90" w14:textId="77777777" w:rsidR="00DA4A97" w:rsidRPr="003C0CD7" w:rsidRDefault="00DA4A97" w:rsidP="00DA4A97">
            <w:pPr>
              <w:jc w:val="left"/>
              <w:rPr>
                <w:b/>
                <w:bCs/>
                <w:color w:val="0D0D0D" w:themeColor="text1" w:themeTint="F2"/>
                <w:szCs w:val="24"/>
              </w:rPr>
            </w:pPr>
          </w:p>
        </w:tc>
        <w:tc>
          <w:tcPr>
            <w:tcW w:w="24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6BEAB190" w14:textId="77777777" w:rsidR="00DA4A97" w:rsidRPr="00DA4A97" w:rsidRDefault="00DA4A97" w:rsidP="00DA4A97">
            <w:pPr>
              <w:pStyle w:val="Text1"/>
              <w:spacing w:before="60" w:after="60"/>
              <w:ind w:left="0" w:right="-25"/>
              <w:jc w:val="left"/>
              <w:rPr>
                <w:color w:val="0D0D0D" w:themeColor="text1" w:themeTint="F2"/>
              </w:rPr>
            </w:pPr>
            <w:r>
              <w:rPr>
                <w:color w:val="0D0D0D" w:themeColor="text1" w:themeTint="F2"/>
              </w:rPr>
              <w:t>Environment and climate resilience</w:t>
            </w:r>
          </w:p>
        </w:tc>
        <w:tc>
          <w:tcPr>
            <w:tcW w:w="2745"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25AAE1BE" w14:textId="102C257B"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1195616155"/>
                <w14:checkbox>
                  <w14:checked w14:val="0"/>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335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7A2F663" w14:textId="4E61A572"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1031331279"/>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r>
      <w:tr w:rsidR="006C5639" w:rsidRPr="008704EA" w14:paraId="69E4F076" w14:textId="77777777" w:rsidTr="2E41943B">
        <w:trPr>
          <w:trHeight w:val="40"/>
        </w:trPr>
        <w:tc>
          <w:tcPr>
            <w:tcW w:w="2127" w:type="dxa"/>
            <w:vMerge/>
          </w:tcPr>
          <w:p w14:paraId="08F08792" w14:textId="77777777" w:rsidR="00DA4A97" w:rsidRPr="003C0CD7" w:rsidRDefault="00DA4A97" w:rsidP="00DA4A97">
            <w:pPr>
              <w:jc w:val="left"/>
              <w:rPr>
                <w:b/>
                <w:bCs/>
                <w:color w:val="0D0D0D" w:themeColor="text1" w:themeTint="F2"/>
                <w:szCs w:val="24"/>
              </w:rPr>
            </w:pPr>
          </w:p>
        </w:tc>
        <w:tc>
          <w:tcPr>
            <w:tcW w:w="24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E8DADFB" w14:textId="77777777" w:rsidR="00DA4A97" w:rsidRPr="00DA4A97" w:rsidRDefault="00DA4A97" w:rsidP="00DA4A97">
            <w:pPr>
              <w:pStyle w:val="Text1"/>
              <w:spacing w:before="60" w:after="60"/>
              <w:ind w:left="0" w:right="-25"/>
              <w:jc w:val="left"/>
              <w:rPr>
                <w:color w:val="0D0D0D" w:themeColor="text1" w:themeTint="F2"/>
              </w:rPr>
            </w:pPr>
            <w:r w:rsidRPr="00091845">
              <w:rPr>
                <w:color w:val="0D0D0D" w:themeColor="text1" w:themeTint="F2"/>
              </w:rPr>
              <w:t>Digital</w:t>
            </w:r>
          </w:p>
        </w:tc>
        <w:tc>
          <w:tcPr>
            <w:tcW w:w="2745"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6C5823AA" w14:textId="74BE74BF"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382372989"/>
                <w14:checkbox>
                  <w14:checked w14:val="0"/>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335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0C5D146A" w14:textId="1314E01B"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254128697"/>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r>
      <w:tr w:rsidR="006C5639" w:rsidRPr="008704EA" w14:paraId="736D3B3B" w14:textId="77777777" w:rsidTr="2E41943B">
        <w:trPr>
          <w:trHeight w:val="40"/>
        </w:trPr>
        <w:tc>
          <w:tcPr>
            <w:tcW w:w="2127" w:type="dxa"/>
            <w:vMerge/>
          </w:tcPr>
          <w:p w14:paraId="0EE9C36D" w14:textId="77777777" w:rsidR="00DA4A97" w:rsidRPr="003C0CD7" w:rsidRDefault="00DA4A97" w:rsidP="00DA4A97">
            <w:pPr>
              <w:jc w:val="left"/>
              <w:rPr>
                <w:b/>
                <w:bCs/>
                <w:color w:val="0D0D0D" w:themeColor="text1" w:themeTint="F2"/>
                <w:szCs w:val="24"/>
              </w:rPr>
            </w:pPr>
          </w:p>
        </w:tc>
        <w:tc>
          <w:tcPr>
            <w:tcW w:w="24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8FAD6EF" w14:textId="77777777" w:rsidR="00DA4A97" w:rsidRPr="00DA4A97" w:rsidRDefault="00DA4A97" w:rsidP="00DA4A97">
            <w:pPr>
              <w:pStyle w:val="Text1"/>
              <w:spacing w:before="60" w:after="60"/>
              <w:ind w:left="0" w:right="-25"/>
              <w:jc w:val="left"/>
              <w:rPr>
                <w:color w:val="0D0D0D" w:themeColor="text1" w:themeTint="F2"/>
              </w:rPr>
            </w:pPr>
            <w:r w:rsidRPr="0081639E">
              <w:rPr>
                <w:color w:val="0D0D0D" w:themeColor="text1" w:themeTint="F2"/>
              </w:rPr>
              <w:t xml:space="preserve">Economic development (incl. private sector, </w:t>
            </w:r>
            <w:proofErr w:type="gramStart"/>
            <w:r w:rsidRPr="0081639E">
              <w:rPr>
                <w:color w:val="0D0D0D" w:themeColor="text1" w:themeTint="F2"/>
              </w:rPr>
              <w:t>trade</w:t>
            </w:r>
            <w:proofErr w:type="gramEnd"/>
            <w:r w:rsidRPr="0081639E">
              <w:rPr>
                <w:color w:val="0D0D0D" w:themeColor="text1" w:themeTint="F2"/>
              </w:rPr>
              <w:t xml:space="preserve"> and macroeconomic support)</w:t>
            </w:r>
          </w:p>
        </w:tc>
        <w:tc>
          <w:tcPr>
            <w:tcW w:w="2745"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A145A5B" w14:textId="7437F592"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1779062486"/>
                <w14:checkbox>
                  <w14:checked w14:val="0"/>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335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49DB0C21" w14:textId="22E62F8C"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149108532"/>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r>
      <w:tr w:rsidR="006C5639" w:rsidRPr="008704EA" w14:paraId="0B838552" w14:textId="77777777" w:rsidTr="2E41943B">
        <w:trPr>
          <w:trHeight w:val="40"/>
        </w:trPr>
        <w:tc>
          <w:tcPr>
            <w:tcW w:w="2127" w:type="dxa"/>
            <w:vMerge/>
          </w:tcPr>
          <w:p w14:paraId="40864031" w14:textId="77777777" w:rsidR="00DA4A97" w:rsidRPr="003C0CD7" w:rsidRDefault="00DA4A97" w:rsidP="00DA4A97">
            <w:pPr>
              <w:jc w:val="left"/>
              <w:rPr>
                <w:b/>
                <w:bCs/>
                <w:color w:val="0D0D0D" w:themeColor="text1" w:themeTint="F2"/>
                <w:szCs w:val="24"/>
              </w:rPr>
            </w:pPr>
          </w:p>
        </w:tc>
        <w:tc>
          <w:tcPr>
            <w:tcW w:w="24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9597815" w14:textId="77777777" w:rsidR="00DA4A97" w:rsidRPr="00DA4A97" w:rsidRDefault="00DA4A97" w:rsidP="00DA4A97">
            <w:pPr>
              <w:pStyle w:val="Text1"/>
              <w:spacing w:before="60" w:after="60"/>
              <w:ind w:left="0" w:right="-25"/>
              <w:jc w:val="left"/>
              <w:rPr>
                <w:color w:val="0D0D0D" w:themeColor="text1" w:themeTint="F2"/>
              </w:rPr>
            </w:pPr>
            <w:r w:rsidRPr="0081639E">
              <w:rPr>
                <w:color w:val="0D0D0D" w:themeColor="text1" w:themeTint="F2"/>
              </w:rPr>
              <w:t>Human Development (incl. human capital and youth)</w:t>
            </w:r>
          </w:p>
        </w:tc>
        <w:tc>
          <w:tcPr>
            <w:tcW w:w="2745"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7860A720" w14:textId="1F77084E"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1208183453"/>
                <w14:checkbox>
                  <w14:checked w14:val="0"/>
                  <w14:checkedState w14:val="2612" w14:font="MS Gothic"/>
                  <w14:uncheckedState w14:val="2610" w14:font="MS Gothic"/>
                </w14:checkbox>
              </w:sdtPr>
              <w:sdtEndPr/>
              <w:sdtContent>
                <w:r w:rsidR="001E7928">
                  <w:rPr>
                    <w:rFonts w:ascii="MS Gothic" w:eastAsia="MS Gothic" w:hAnsi="MS Gothic" w:cs="Segoe UI Symbol" w:hint="eastAsia"/>
                    <w:color w:val="0D0D0D" w:themeColor="text1" w:themeTint="F2"/>
                  </w:rPr>
                  <w:t>☐</w:t>
                </w:r>
              </w:sdtContent>
            </w:sdt>
          </w:p>
        </w:tc>
        <w:tc>
          <w:tcPr>
            <w:tcW w:w="335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EF86D3D" w14:textId="723DF17E" w:rsidR="00DA4A97" w:rsidRDefault="00BA266A" w:rsidP="00DA4A97">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774908311"/>
                <w14:checkbox>
                  <w14:checked w14:val="1"/>
                  <w14:checkedState w14:val="2612" w14:font="MS Gothic"/>
                  <w14:uncheckedState w14:val="2610" w14:font="MS Gothic"/>
                </w14:checkbox>
              </w:sdtPr>
              <w:sdtEndPr/>
              <w:sdtContent>
                <w:r w:rsidR="004A4C6A" w:rsidRPr="004A4C6A">
                  <w:rPr>
                    <w:rFonts w:eastAsia="MS Gothic" w:hint="eastAsia"/>
                    <w:color w:val="0D0D0D" w:themeColor="text1" w:themeTint="F2"/>
                    <w:sz w:val="22"/>
                  </w:rPr>
                  <w:t>☒</w:t>
                </w:r>
              </w:sdtContent>
            </w:sdt>
          </w:p>
        </w:tc>
      </w:tr>
      <w:tr w:rsidR="006C5639" w:rsidRPr="008704EA" w14:paraId="0CCD1217" w14:textId="77777777" w:rsidTr="2E41943B">
        <w:trPr>
          <w:trHeight w:val="40"/>
        </w:trPr>
        <w:tc>
          <w:tcPr>
            <w:tcW w:w="2127" w:type="dxa"/>
            <w:vMerge/>
          </w:tcPr>
          <w:p w14:paraId="4F9E4B31" w14:textId="77777777" w:rsidR="00DA4A97" w:rsidRPr="003C0CD7" w:rsidRDefault="00DA4A97" w:rsidP="00DA4A97">
            <w:pPr>
              <w:jc w:val="left"/>
              <w:rPr>
                <w:b/>
                <w:bCs/>
                <w:color w:val="0D0D0D" w:themeColor="text1" w:themeTint="F2"/>
                <w:szCs w:val="24"/>
              </w:rPr>
            </w:pPr>
          </w:p>
        </w:tc>
        <w:tc>
          <w:tcPr>
            <w:tcW w:w="24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6B77DAE" w14:textId="77777777" w:rsidR="00DA4A97" w:rsidRPr="00DA4A97" w:rsidRDefault="00DA4A97" w:rsidP="00DA4A97">
            <w:pPr>
              <w:pStyle w:val="Text1"/>
              <w:spacing w:before="60" w:after="60"/>
              <w:ind w:left="0" w:right="-25"/>
              <w:jc w:val="left"/>
              <w:rPr>
                <w:color w:val="0D0D0D" w:themeColor="text1" w:themeTint="F2"/>
              </w:rPr>
            </w:pPr>
            <w:r w:rsidRPr="0081639E">
              <w:rPr>
                <w:color w:val="0D0D0D" w:themeColor="text1" w:themeTint="F2"/>
              </w:rPr>
              <w:t>Health resilience</w:t>
            </w:r>
          </w:p>
        </w:tc>
        <w:tc>
          <w:tcPr>
            <w:tcW w:w="2745"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85D3EBF" w14:textId="333A1211"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669253138"/>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335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C3D0A9E" w14:textId="5D5250D0"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1583792682"/>
                <w14:checkbox>
                  <w14:checked w14:val="0"/>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r>
      <w:tr w:rsidR="00880E95" w:rsidRPr="008704EA" w14:paraId="029B2C64" w14:textId="77777777" w:rsidTr="2E41943B">
        <w:trPr>
          <w:trHeight w:val="40"/>
        </w:trPr>
        <w:tc>
          <w:tcPr>
            <w:tcW w:w="2127" w:type="dxa"/>
            <w:vMerge/>
          </w:tcPr>
          <w:p w14:paraId="323BA2CB" w14:textId="77777777" w:rsidR="00DA4A97" w:rsidRPr="003C0CD7" w:rsidRDefault="00DA4A97" w:rsidP="00DA4A97">
            <w:pPr>
              <w:jc w:val="left"/>
              <w:rPr>
                <w:b/>
                <w:bCs/>
                <w:color w:val="0D0D0D" w:themeColor="text1" w:themeTint="F2"/>
                <w:szCs w:val="24"/>
              </w:rPr>
            </w:pPr>
          </w:p>
        </w:tc>
        <w:tc>
          <w:tcPr>
            <w:tcW w:w="24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4E1268E" w14:textId="77777777" w:rsidR="00DA4A97" w:rsidRPr="00DA4A97" w:rsidRDefault="00DA4A97" w:rsidP="00DA4A97">
            <w:pPr>
              <w:pStyle w:val="Text1"/>
              <w:spacing w:before="60" w:after="60"/>
              <w:ind w:left="0" w:right="-25"/>
              <w:jc w:val="left"/>
              <w:rPr>
                <w:color w:val="0D0D0D" w:themeColor="text1" w:themeTint="F2"/>
              </w:rPr>
            </w:pPr>
            <w:r w:rsidRPr="0081639E">
              <w:rPr>
                <w:color w:val="0D0D0D" w:themeColor="text1" w:themeTint="F2"/>
              </w:rPr>
              <w:t>Migration and mobility</w:t>
            </w:r>
          </w:p>
        </w:tc>
        <w:tc>
          <w:tcPr>
            <w:tcW w:w="2745" w:type="dxa"/>
            <w:gridSpan w:val="2"/>
            <w:tcBorders>
              <w:top w:val="single" w:sz="4" w:space="0" w:color="FFFFFF" w:themeColor="background1"/>
              <w:left w:val="single" w:sz="4" w:space="0" w:color="auto"/>
              <w:right w:val="single" w:sz="4" w:space="0" w:color="FFFFFF" w:themeColor="background1"/>
            </w:tcBorders>
            <w:shd w:val="clear" w:color="auto" w:fill="auto"/>
          </w:tcPr>
          <w:p w14:paraId="3C90E323" w14:textId="55D3E84C"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925776598"/>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3351" w:type="dxa"/>
            <w:gridSpan w:val="2"/>
            <w:tcBorders>
              <w:top w:val="single" w:sz="4" w:space="0" w:color="FFFFFF" w:themeColor="background1"/>
              <w:left w:val="single" w:sz="4" w:space="0" w:color="FFFFFF" w:themeColor="background1"/>
              <w:right w:val="single" w:sz="4" w:space="0" w:color="auto"/>
            </w:tcBorders>
            <w:shd w:val="clear" w:color="auto" w:fill="auto"/>
          </w:tcPr>
          <w:p w14:paraId="1D668F7B" w14:textId="400CC51F"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1272081147"/>
                <w14:checkbox>
                  <w14:checked w14:val="0"/>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r>
      <w:tr w:rsidR="00880E95" w:rsidRPr="008704EA" w14:paraId="5F9CB707" w14:textId="77777777" w:rsidTr="2E41943B">
        <w:trPr>
          <w:trHeight w:val="40"/>
        </w:trPr>
        <w:tc>
          <w:tcPr>
            <w:tcW w:w="2127" w:type="dxa"/>
            <w:vMerge/>
          </w:tcPr>
          <w:p w14:paraId="1602AF7A" w14:textId="77777777" w:rsidR="00DA4A97" w:rsidRPr="003C0CD7" w:rsidRDefault="00DA4A97" w:rsidP="00DA4A97">
            <w:pPr>
              <w:jc w:val="left"/>
              <w:rPr>
                <w:b/>
                <w:bCs/>
                <w:color w:val="0D0D0D" w:themeColor="text1" w:themeTint="F2"/>
                <w:szCs w:val="24"/>
              </w:rPr>
            </w:pPr>
          </w:p>
        </w:tc>
        <w:tc>
          <w:tcPr>
            <w:tcW w:w="24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012A92D" w14:textId="77777777" w:rsidR="00DA4A97" w:rsidRPr="00DA4A97" w:rsidRDefault="00DA4A97" w:rsidP="00DA4A97">
            <w:pPr>
              <w:pStyle w:val="Text1"/>
              <w:spacing w:before="60" w:after="60"/>
              <w:ind w:left="0" w:right="-25"/>
              <w:jc w:val="left"/>
              <w:rPr>
                <w:color w:val="0D0D0D" w:themeColor="text1" w:themeTint="F2"/>
              </w:rPr>
            </w:pPr>
            <w:r w:rsidRPr="0081639E">
              <w:rPr>
                <w:color w:val="0D0D0D" w:themeColor="text1" w:themeTint="F2"/>
              </w:rPr>
              <w:t>Agriculture, food security and rural development</w:t>
            </w:r>
          </w:p>
        </w:tc>
        <w:tc>
          <w:tcPr>
            <w:tcW w:w="2745" w:type="dxa"/>
            <w:gridSpan w:val="2"/>
            <w:tcBorders>
              <w:left w:val="single" w:sz="4" w:space="0" w:color="auto"/>
              <w:bottom w:val="single" w:sz="4" w:space="0" w:color="FFFFFF" w:themeColor="background1"/>
              <w:right w:val="single" w:sz="4" w:space="0" w:color="FFFFFF" w:themeColor="background1"/>
            </w:tcBorders>
            <w:shd w:val="clear" w:color="auto" w:fill="auto"/>
          </w:tcPr>
          <w:p w14:paraId="66F0E342" w14:textId="3D838872"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84305851"/>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3351" w:type="dxa"/>
            <w:gridSpan w:val="2"/>
            <w:tcBorders>
              <w:left w:val="single" w:sz="4" w:space="0" w:color="FFFFFF" w:themeColor="background1"/>
              <w:bottom w:val="single" w:sz="4" w:space="0" w:color="FFFFFF" w:themeColor="background1"/>
              <w:right w:val="single" w:sz="4" w:space="0" w:color="auto"/>
            </w:tcBorders>
            <w:shd w:val="clear" w:color="auto" w:fill="auto"/>
          </w:tcPr>
          <w:p w14:paraId="424B58DC" w14:textId="3B504C08"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1887530982"/>
                <w14:checkbox>
                  <w14:checked w14:val="0"/>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r>
      <w:tr w:rsidR="006C5639" w:rsidRPr="008704EA" w14:paraId="775A9BEB" w14:textId="77777777" w:rsidTr="2E41943B">
        <w:trPr>
          <w:trHeight w:val="40"/>
        </w:trPr>
        <w:tc>
          <w:tcPr>
            <w:tcW w:w="2127" w:type="dxa"/>
            <w:vMerge/>
          </w:tcPr>
          <w:p w14:paraId="1A266FD9" w14:textId="77777777" w:rsidR="00DA4A97" w:rsidRPr="003C0CD7" w:rsidRDefault="00DA4A97" w:rsidP="00DA4A97">
            <w:pPr>
              <w:jc w:val="left"/>
              <w:rPr>
                <w:b/>
                <w:bCs/>
                <w:color w:val="0D0D0D" w:themeColor="text1" w:themeTint="F2"/>
                <w:szCs w:val="24"/>
              </w:rPr>
            </w:pPr>
          </w:p>
        </w:tc>
        <w:tc>
          <w:tcPr>
            <w:tcW w:w="2409"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auto"/>
          </w:tcPr>
          <w:p w14:paraId="4F9D8550" w14:textId="77777777" w:rsidR="00DA4A97" w:rsidRPr="00DA4A97" w:rsidRDefault="00DA4A97" w:rsidP="00DA4A97">
            <w:pPr>
              <w:pStyle w:val="Text1"/>
              <w:spacing w:before="60" w:after="60"/>
              <w:ind w:left="0" w:right="-25"/>
              <w:jc w:val="left"/>
              <w:rPr>
                <w:color w:val="0D0D0D" w:themeColor="text1" w:themeTint="F2"/>
              </w:rPr>
            </w:pPr>
            <w:r w:rsidRPr="0081639E">
              <w:rPr>
                <w:color w:val="0D0D0D" w:themeColor="text1" w:themeTint="F2"/>
              </w:rPr>
              <w:t xml:space="preserve">Rule of law, </w:t>
            </w:r>
            <w:proofErr w:type="gramStart"/>
            <w:r w:rsidRPr="0081639E">
              <w:rPr>
                <w:color w:val="0D0D0D" w:themeColor="text1" w:themeTint="F2"/>
              </w:rPr>
              <w:t>governance</w:t>
            </w:r>
            <w:proofErr w:type="gramEnd"/>
            <w:r w:rsidRPr="0081639E">
              <w:rPr>
                <w:color w:val="0D0D0D" w:themeColor="text1" w:themeTint="F2"/>
              </w:rPr>
              <w:t xml:space="preserve"> and Public Administration reform</w:t>
            </w:r>
          </w:p>
        </w:tc>
        <w:tc>
          <w:tcPr>
            <w:tcW w:w="274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14:paraId="691031B7" w14:textId="56A330B3"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1576315249"/>
                <w14:checkbox>
                  <w14:checked w14:val="0"/>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335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D5029A6" w14:textId="7A165946"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333299479"/>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r>
      <w:tr w:rsidR="006C5639" w:rsidRPr="008704EA" w14:paraId="5365897C" w14:textId="77777777" w:rsidTr="2E41943B">
        <w:trPr>
          <w:trHeight w:val="40"/>
        </w:trPr>
        <w:tc>
          <w:tcPr>
            <w:tcW w:w="2127" w:type="dxa"/>
            <w:vMerge/>
          </w:tcPr>
          <w:p w14:paraId="6A1C85AC" w14:textId="77777777" w:rsidR="00DA4A97" w:rsidRPr="003C0CD7" w:rsidRDefault="00DA4A97" w:rsidP="00DA4A97">
            <w:pPr>
              <w:jc w:val="left"/>
              <w:rPr>
                <w:b/>
                <w:bCs/>
                <w:color w:val="0D0D0D" w:themeColor="text1" w:themeTint="F2"/>
                <w:szCs w:val="24"/>
              </w:rPr>
            </w:pPr>
          </w:p>
        </w:tc>
        <w:tc>
          <w:tcPr>
            <w:tcW w:w="2409" w:type="dxa"/>
            <w:tcBorders>
              <w:top w:val="single" w:sz="4" w:space="0" w:color="FFFFFF" w:themeColor="background1"/>
              <w:left w:val="single" w:sz="4" w:space="0" w:color="auto"/>
              <w:bottom w:val="single" w:sz="4" w:space="0" w:color="auto"/>
              <w:right w:val="single" w:sz="4" w:space="0" w:color="000000" w:themeColor="text1"/>
            </w:tcBorders>
            <w:shd w:val="clear" w:color="auto" w:fill="auto"/>
          </w:tcPr>
          <w:p w14:paraId="634108B3" w14:textId="77777777" w:rsidR="00DA4A97" w:rsidRPr="00DA4A97" w:rsidRDefault="00DA4A97" w:rsidP="00DA4A97">
            <w:pPr>
              <w:pStyle w:val="Text1"/>
              <w:spacing w:before="60" w:after="60"/>
              <w:ind w:left="0" w:right="-25"/>
              <w:jc w:val="left"/>
              <w:rPr>
                <w:color w:val="0D0D0D" w:themeColor="text1" w:themeTint="F2"/>
              </w:rPr>
            </w:pPr>
            <w:r>
              <w:rPr>
                <w:color w:val="0D0D0D" w:themeColor="text1" w:themeTint="F2"/>
              </w:rPr>
              <w:t>Other</w:t>
            </w:r>
          </w:p>
        </w:tc>
        <w:tc>
          <w:tcPr>
            <w:tcW w:w="2745" w:type="dxa"/>
            <w:gridSpan w:val="2"/>
            <w:tcBorders>
              <w:top w:val="single" w:sz="4" w:space="0" w:color="FFFFFF" w:themeColor="background1"/>
              <w:left w:val="single" w:sz="4" w:space="0" w:color="000000" w:themeColor="text1"/>
              <w:bottom w:val="single" w:sz="4" w:space="0" w:color="auto"/>
              <w:right w:val="single" w:sz="4" w:space="0" w:color="FFFFFF" w:themeColor="background1"/>
            </w:tcBorders>
            <w:shd w:val="clear" w:color="auto" w:fill="auto"/>
          </w:tcPr>
          <w:p w14:paraId="50F7A679" w14:textId="466BC6CB"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1966075610"/>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3351"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47BA5BEE" w14:textId="20917017" w:rsidR="00DA4A97" w:rsidRDefault="00BA266A"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rPr>
                <w:id w:val="1147559416"/>
                <w14:checkbox>
                  <w14:checked w14:val="0"/>
                  <w14:checkedState w14:val="2612" w14:font="MS Gothic"/>
                  <w14:uncheckedState w14:val="2610" w14:font="MS Gothic"/>
                </w14:checkbox>
              </w:sdtPr>
              <w:sdtEndPr/>
              <w:sdtContent>
                <w:r w:rsidR="004F6D99">
                  <w:rPr>
                    <w:rFonts w:ascii="MS Gothic" w:eastAsia="MS Gothic" w:hAnsi="MS Gothic" w:cs="Segoe UI Symbol" w:hint="eastAsia"/>
                    <w:color w:val="0D0D0D" w:themeColor="text1" w:themeTint="F2"/>
                  </w:rPr>
                  <w:t>☐</w:t>
                </w:r>
              </w:sdtContent>
            </w:sdt>
          </w:p>
        </w:tc>
      </w:tr>
      <w:tr w:rsidR="007230DA" w:rsidRPr="008704EA" w14:paraId="46684703" w14:textId="77777777" w:rsidTr="2E41943B">
        <w:trPr>
          <w:trHeight w:val="40"/>
        </w:trPr>
        <w:tc>
          <w:tcPr>
            <w:tcW w:w="2127" w:type="dxa"/>
            <w:vMerge/>
          </w:tcPr>
          <w:p w14:paraId="79583395" w14:textId="77777777" w:rsidR="007230DA" w:rsidRPr="003C0CD7" w:rsidRDefault="007230DA" w:rsidP="00C85643">
            <w:pPr>
              <w:jc w:val="left"/>
              <w:rPr>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7BFDDA7" w14:textId="2FB63708" w:rsidR="007230DA" w:rsidRPr="00C85643" w:rsidRDefault="007230DA" w:rsidP="007230DA">
            <w:pPr>
              <w:pStyle w:val="Text1"/>
              <w:spacing w:before="60" w:after="60"/>
              <w:ind w:left="0" w:right="-25"/>
              <w:jc w:val="left"/>
              <w:rPr>
                <w:b/>
                <w:color w:val="0D0D0D" w:themeColor="text1" w:themeTint="F2"/>
              </w:rPr>
            </w:pPr>
            <w:r w:rsidRPr="005D6559">
              <w:rPr>
                <w:color w:val="0D0D0D" w:themeColor="text1" w:themeTint="F2"/>
              </w:rPr>
              <w:t xml:space="preserve">Digitalisation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A739B2" w14:textId="77777777" w:rsidR="007230DA" w:rsidRPr="00C85643" w:rsidRDefault="00BA266A" w:rsidP="007230DA">
            <w:pPr>
              <w:pStyle w:val="Text1"/>
              <w:spacing w:before="60" w:after="60"/>
              <w:ind w:left="0" w:right="-25"/>
              <w:jc w:val="left"/>
              <w:rPr>
                <w:b/>
                <w:color w:val="0D0D0D" w:themeColor="text1" w:themeTint="F2"/>
              </w:rPr>
            </w:pPr>
            <w:sdt>
              <w:sdtPr>
                <w:rPr>
                  <w:rFonts w:eastAsia="MS Gothic"/>
                  <w:color w:val="0D0D0D" w:themeColor="text1" w:themeTint="F2"/>
                  <w:sz w:val="22"/>
                </w:rPr>
                <w:id w:val="838426788"/>
                <w14:checkbox>
                  <w14:checked w14:val="0"/>
                  <w14:checkedState w14:val="2612" w14:font="MS Gothic"/>
                  <w14:uncheckedState w14:val="2610" w14:font="MS Gothic"/>
                </w14:checkbox>
              </w:sdtPr>
              <w:sdtEndPr/>
              <w:sdtContent>
                <w:r w:rsidR="007230DA" w:rsidRPr="003775F2">
                  <w:rPr>
                    <w:rFonts w:ascii="Segoe UI Symbol" w:eastAsia="MS Gothic" w:hAnsi="Segoe UI Symbol"/>
                    <w:color w:val="0D0D0D" w:themeColor="text1" w:themeTint="F2"/>
                    <w:sz w:val="2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785D15F6" w14:textId="7B760526" w:rsidR="007230DA" w:rsidRPr="00C85643" w:rsidRDefault="00BA266A" w:rsidP="007230DA">
            <w:pPr>
              <w:pStyle w:val="Text1"/>
              <w:spacing w:before="60" w:after="60"/>
              <w:ind w:left="0" w:right="-25"/>
              <w:jc w:val="left"/>
              <w:rPr>
                <w:b/>
                <w:color w:val="0D0D0D" w:themeColor="text1" w:themeTint="F2"/>
              </w:rPr>
            </w:pPr>
            <w:sdt>
              <w:sdtPr>
                <w:rPr>
                  <w:rFonts w:eastAsia="MS Gothic"/>
                  <w:color w:val="0D0D0D" w:themeColor="text1" w:themeTint="F2"/>
                  <w:sz w:val="22"/>
                </w:rPr>
                <w:id w:val="-1413773309"/>
                <w14:checkbox>
                  <w14:checked w14:val="1"/>
                  <w14:checkedState w14:val="2612" w14:font="MS Gothic"/>
                  <w14:uncheckedState w14:val="2610" w14:font="MS Gothic"/>
                </w14:checkbox>
              </w:sdtPr>
              <w:sdtEndPr/>
              <w:sdtContent>
                <w:r w:rsidR="004A4C6A">
                  <w:rPr>
                    <w:rFonts w:ascii="MS Gothic" w:eastAsia="MS Gothic" w:hAnsi="MS Gothic"/>
                    <w:color w:val="0D0D0D" w:themeColor="text1" w:themeTint="F2"/>
                    <w:sz w:val="2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6207654" w14:textId="77777777" w:rsidR="007230DA" w:rsidRPr="00C85643" w:rsidRDefault="00BA266A" w:rsidP="007230DA">
            <w:pPr>
              <w:pStyle w:val="Text1"/>
              <w:spacing w:before="60" w:after="60"/>
              <w:ind w:left="0" w:right="-25"/>
              <w:jc w:val="left"/>
              <w:rPr>
                <w:b/>
                <w:color w:val="0D0D0D" w:themeColor="text1" w:themeTint="F2"/>
              </w:rPr>
            </w:pPr>
            <w:sdt>
              <w:sdtPr>
                <w:rPr>
                  <w:rFonts w:eastAsia="MS Gothic"/>
                  <w:color w:val="0D0D0D" w:themeColor="text1" w:themeTint="F2"/>
                  <w:sz w:val="22"/>
                </w:rPr>
                <w:id w:val="1062148639"/>
                <w14:checkbox>
                  <w14:checked w14:val="0"/>
                  <w14:checkedState w14:val="2612" w14:font="MS Gothic"/>
                  <w14:uncheckedState w14:val="2610" w14:font="MS Gothic"/>
                </w14:checkbox>
              </w:sdtPr>
              <w:sdtEndPr/>
              <w:sdtContent>
                <w:r w:rsidR="007230DA" w:rsidRPr="003775F2">
                  <w:rPr>
                    <w:rFonts w:ascii="Segoe UI Symbol" w:eastAsia="MS Gothic" w:hAnsi="Segoe UI Symbol"/>
                    <w:color w:val="0D0D0D" w:themeColor="text1" w:themeTint="F2"/>
                    <w:sz w:val="22"/>
                  </w:rPr>
                  <w:t>☐</w:t>
                </w:r>
              </w:sdtContent>
            </w:sdt>
          </w:p>
        </w:tc>
      </w:tr>
      <w:tr w:rsidR="00880E95" w:rsidRPr="008704EA" w14:paraId="051D42E6" w14:textId="77777777" w:rsidTr="2E41943B">
        <w:trPr>
          <w:trHeight w:val="557"/>
        </w:trPr>
        <w:tc>
          <w:tcPr>
            <w:tcW w:w="2127" w:type="dxa"/>
            <w:vMerge/>
          </w:tcPr>
          <w:p w14:paraId="29791768" w14:textId="77777777" w:rsidR="00613AD4" w:rsidRPr="003C0CD7" w:rsidRDefault="00613AD4" w:rsidP="007230DA">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583B80A" w14:textId="6D864E75" w:rsidR="00613AD4" w:rsidRDefault="00613AD4" w:rsidP="007230DA">
            <w:pPr>
              <w:pStyle w:val="Text1"/>
              <w:spacing w:before="60" w:after="60"/>
              <w:ind w:left="0" w:right="-25"/>
              <w:jc w:val="left"/>
              <w:rPr>
                <w:color w:val="0D0D0D" w:themeColor="text1" w:themeTint="F2"/>
              </w:rPr>
            </w:pPr>
            <w:r>
              <w:rPr>
                <w:color w:val="0D0D0D" w:themeColor="text1" w:themeTint="F2"/>
              </w:rPr>
              <w:t>Tags</w:t>
            </w:r>
          </w:p>
          <w:p w14:paraId="49382782" w14:textId="77777777" w:rsidR="00613AD4" w:rsidRPr="00EE373C" w:rsidRDefault="00613AD4" w:rsidP="007230DA">
            <w:pPr>
              <w:pStyle w:val="Text1"/>
              <w:spacing w:before="60" w:after="60"/>
              <w:ind w:left="720" w:right="-25"/>
              <w:jc w:val="left"/>
              <w:rPr>
                <w:rFonts w:eastAsiaTheme="minorHAnsi"/>
              </w:rPr>
            </w:pPr>
            <w:r w:rsidRPr="00EE373C">
              <w:rPr>
                <w:rFonts w:eastAsiaTheme="minorHAnsi"/>
              </w:rPr>
              <w:t xml:space="preserve">digital connectivity </w:t>
            </w:r>
          </w:p>
          <w:p w14:paraId="0A5071D5" w14:textId="77777777" w:rsidR="00613AD4" w:rsidRPr="00EE373C" w:rsidRDefault="00613AD4" w:rsidP="007230DA">
            <w:pPr>
              <w:pStyle w:val="Text1"/>
              <w:spacing w:before="60" w:after="60"/>
              <w:ind w:left="720" w:right="-25"/>
              <w:jc w:val="left"/>
              <w:rPr>
                <w:rFonts w:eastAsiaTheme="minorHAnsi"/>
              </w:rPr>
            </w:pPr>
            <w:r w:rsidRPr="00EE373C">
              <w:rPr>
                <w:rFonts w:eastAsiaTheme="minorHAnsi"/>
              </w:rPr>
              <w:t xml:space="preserve">digital governance </w:t>
            </w:r>
          </w:p>
          <w:p w14:paraId="4B2BB66B" w14:textId="77777777" w:rsidR="00613AD4" w:rsidRPr="00EE373C" w:rsidRDefault="00613AD4" w:rsidP="007230DA">
            <w:pPr>
              <w:pStyle w:val="Text1"/>
              <w:spacing w:before="60" w:after="60"/>
              <w:ind w:left="720" w:right="-25"/>
              <w:jc w:val="left"/>
              <w:rPr>
                <w:rFonts w:eastAsiaTheme="minorHAnsi"/>
              </w:rPr>
            </w:pPr>
            <w:r w:rsidRPr="00EE373C">
              <w:rPr>
                <w:rFonts w:eastAsiaTheme="minorHAnsi"/>
              </w:rPr>
              <w:t>digital entrepreneurship</w:t>
            </w:r>
          </w:p>
          <w:p w14:paraId="67020FFE" w14:textId="77777777" w:rsidR="00613AD4" w:rsidRPr="00EE373C" w:rsidRDefault="00613AD4" w:rsidP="007230DA">
            <w:pPr>
              <w:pStyle w:val="Text1"/>
              <w:spacing w:before="60" w:after="60"/>
              <w:ind w:left="720" w:right="-25"/>
              <w:jc w:val="left"/>
              <w:rPr>
                <w:rFonts w:eastAsiaTheme="minorHAnsi"/>
              </w:rPr>
            </w:pPr>
            <w:r w:rsidRPr="00EE373C">
              <w:rPr>
                <w:rFonts w:eastAsiaTheme="minorHAnsi"/>
              </w:rPr>
              <w:t>digital skills/literacy</w:t>
            </w:r>
          </w:p>
          <w:p w14:paraId="552C7D68" w14:textId="77777777" w:rsidR="00613AD4" w:rsidRPr="003C0CD7" w:rsidRDefault="00613AD4" w:rsidP="00C85643">
            <w:pPr>
              <w:pStyle w:val="Text1"/>
              <w:spacing w:before="60" w:after="60" w:line="276" w:lineRule="auto"/>
              <w:ind w:left="720" w:right="-25"/>
              <w:jc w:val="left"/>
              <w:rPr>
                <w:color w:val="0D0D0D" w:themeColor="text1" w:themeTint="F2"/>
              </w:rPr>
            </w:pPr>
            <w:r w:rsidRPr="00EE373C">
              <w:rPr>
                <w:rFonts w:eastAsiaTheme="minorHAnsi"/>
              </w:rPr>
              <w:lastRenderedPageBreak/>
              <w:t>digital services</w:t>
            </w:r>
            <w:r w:rsidRPr="005D6559">
              <w:rPr>
                <w:color w:val="0D0D0D" w:themeColor="text1" w:themeTint="F2"/>
              </w:rPr>
              <w:t xml:space="preserve"> </w:t>
            </w:r>
          </w:p>
        </w:tc>
        <w:tc>
          <w:tcPr>
            <w:tcW w:w="2745"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26D3DB78" w14:textId="1D134926" w:rsidR="00613AD4" w:rsidRPr="00C85643" w:rsidRDefault="00736533" w:rsidP="00613AD4">
            <w:pPr>
              <w:pStyle w:val="Text1"/>
              <w:spacing w:before="60" w:after="60"/>
              <w:ind w:left="0" w:right="-25"/>
              <w:jc w:val="center"/>
              <w:rPr>
                <w:rFonts w:eastAsia="MS Gothic"/>
              </w:rPr>
            </w:pPr>
            <w:r>
              <w:rPr>
                <w:rFonts w:eastAsia="MS Gothic"/>
              </w:rPr>
              <w:lastRenderedPageBreak/>
              <w:t>NO</w:t>
            </w:r>
          </w:p>
          <w:p w14:paraId="28975885" w14:textId="765C161B" w:rsidR="00613AD4" w:rsidRDefault="00BA266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79792797"/>
                <w14:checkbox>
                  <w14:checked w14:val="0"/>
                  <w14:checkedState w14:val="2612" w14:font="MS Gothic"/>
                  <w14:uncheckedState w14:val="2610" w14:font="MS Gothic"/>
                </w14:checkbox>
              </w:sdtPr>
              <w:sdtEndPr/>
              <w:sdtContent>
                <w:r w:rsidR="004A4C6A">
                  <w:rPr>
                    <w:rFonts w:ascii="MS Gothic" w:eastAsia="MS Gothic" w:hAnsi="MS Gothic" w:cs="Segoe UI Symbol" w:hint="eastAsia"/>
                    <w:sz w:val="22"/>
                    <w:szCs w:val="22"/>
                  </w:rPr>
                  <w:t>☐</w:t>
                </w:r>
              </w:sdtContent>
            </w:sdt>
          </w:p>
          <w:p w14:paraId="22DEAC71" w14:textId="77777777" w:rsidR="004A4C6A" w:rsidRPr="002719BB" w:rsidRDefault="004A4C6A" w:rsidP="00613AD4">
            <w:pPr>
              <w:pStyle w:val="Text1"/>
              <w:spacing w:before="60" w:after="60"/>
              <w:ind w:left="0" w:right="-25"/>
              <w:jc w:val="center"/>
              <w:rPr>
                <w:rFonts w:ascii="Segoe UI Symbol" w:eastAsia="MS Gothic" w:hAnsi="Segoe UI Symbol" w:cs="Segoe UI Symbol"/>
                <w:sz w:val="22"/>
                <w:szCs w:val="22"/>
              </w:rPr>
            </w:pPr>
          </w:p>
          <w:p w14:paraId="512BBC8F" w14:textId="3D9ACE08" w:rsidR="00613AD4" w:rsidRDefault="00BA266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277787617"/>
                <w14:checkbox>
                  <w14:checked w14:val="0"/>
                  <w14:checkedState w14:val="2612" w14:font="MS Gothic"/>
                  <w14:uncheckedState w14:val="2610" w14:font="MS Gothic"/>
                </w14:checkbox>
              </w:sdtPr>
              <w:sdtEndPr/>
              <w:sdtContent>
                <w:r w:rsidR="004A4C6A">
                  <w:rPr>
                    <w:rFonts w:ascii="MS Gothic" w:eastAsia="MS Gothic" w:hAnsi="MS Gothic" w:cs="Segoe UI Symbol" w:hint="eastAsia"/>
                    <w:sz w:val="22"/>
                    <w:szCs w:val="22"/>
                  </w:rPr>
                  <w:t>☐</w:t>
                </w:r>
              </w:sdtContent>
            </w:sdt>
          </w:p>
          <w:p w14:paraId="4F6602F7" w14:textId="77777777" w:rsidR="004A4C6A" w:rsidRPr="002719BB" w:rsidRDefault="004A4C6A" w:rsidP="00613AD4">
            <w:pPr>
              <w:pStyle w:val="Text1"/>
              <w:spacing w:before="60" w:after="60"/>
              <w:ind w:left="0" w:right="-25"/>
              <w:jc w:val="center"/>
              <w:rPr>
                <w:rFonts w:ascii="Segoe UI Symbol" w:eastAsia="MS Gothic" w:hAnsi="Segoe UI Symbol" w:cs="Segoe UI Symbol"/>
                <w:sz w:val="22"/>
                <w:szCs w:val="22"/>
              </w:rPr>
            </w:pPr>
          </w:p>
          <w:p w14:paraId="15ED966A" w14:textId="2740625D" w:rsidR="00613AD4" w:rsidRDefault="00BA266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889382601"/>
                <w14:checkbox>
                  <w14:checked w14:val="1"/>
                  <w14:checkedState w14:val="2612" w14:font="MS Gothic"/>
                  <w14:uncheckedState w14:val="2610" w14:font="MS Gothic"/>
                </w14:checkbox>
              </w:sdtPr>
              <w:sdtEndPr/>
              <w:sdtContent>
                <w:r w:rsidR="004A4C6A">
                  <w:rPr>
                    <w:rFonts w:ascii="MS Gothic" w:eastAsia="MS Gothic" w:hAnsi="MS Gothic" w:cs="Segoe UI Symbol" w:hint="eastAsia"/>
                    <w:sz w:val="22"/>
                    <w:szCs w:val="22"/>
                  </w:rPr>
                  <w:t>☒</w:t>
                </w:r>
              </w:sdtContent>
            </w:sdt>
          </w:p>
          <w:p w14:paraId="75BEE755" w14:textId="77777777" w:rsidR="004A4C6A" w:rsidRPr="002719BB" w:rsidRDefault="004A4C6A" w:rsidP="00613AD4">
            <w:pPr>
              <w:pStyle w:val="Text1"/>
              <w:spacing w:before="60" w:after="60"/>
              <w:ind w:left="0" w:right="-25"/>
              <w:jc w:val="center"/>
              <w:rPr>
                <w:rFonts w:ascii="Segoe UI Symbol" w:eastAsia="MS Gothic" w:hAnsi="Segoe UI Symbol" w:cs="Segoe UI Symbol"/>
                <w:sz w:val="22"/>
                <w:szCs w:val="22"/>
              </w:rPr>
            </w:pPr>
          </w:p>
          <w:p w14:paraId="7F39DE27" w14:textId="00D64236" w:rsidR="004A4C6A" w:rsidRDefault="00BA266A" w:rsidP="004A4C6A">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715628141"/>
                <w14:checkbox>
                  <w14:checked w14:val="1"/>
                  <w14:checkedState w14:val="2612" w14:font="MS Gothic"/>
                  <w14:uncheckedState w14:val="2610" w14:font="MS Gothic"/>
                </w14:checkbox>
              </w:sdtPr>
              <w:sdtEndPr/>
              <w:sdtContent>
                <w:r w:rsidR="004A4C6A">
                  <w:rPr>
                    <w:rFonts w:ascii="MS Gothic" w:eastAsia="MS Gothic" w:hAnsi="MS Gothic" w:cs="Segoe UI Symbol" w:hint="eastAsia"/>
                    <w:sz w:val="22"/>
                    <w:szCs w:val="22"/>
                  </w:rPr>
                  <w:t>☒</w:t>
                </w:r>
              </w:sdtContent>
            </w:sdt>
          </w:p>
          <w:p w14:paraId="3CD032A6" w14:textId="7A649C8A" w:rsidR="00613AD4" w:rsidRDefault="00BA266A" w:rsidP="00613AD4">
            <w:pPr>
              <w:pStyle w:val="Text1"/>
              <w:spacing w:before="60" w:after="60"/>
              <w:ind w:left="0" w:right="-25"/>
              <w:jc w:val="center"/>
              <w:rPr>
                <w:rFonts w:ascii="Segoe UI Symbol" w:eastAsia="MS Gothic" w:hAnsi="Segoe UI Symbol"/>
              </w:rPr>
            </w:pPr>
            <w:sdt>
              <w:sdtPr>
                <w:rPr>
                  <w:rFonts w:ascii="Segoe UI Symbol" w:eastAsia="MS Gothic" w:hAnsi="Segoe UI Symbol"/>
                  <w:sz w:val="22"/>
                </w:rPr>
                <w:id w:val="645477591"/>
                <w14:checkbox>
                  <w14:checked w14:val="0"/>
                  <w14:checkedState w14:val="2612" w14:font="MS Gothic"/>
                  <w14:uncheckedState w14:val="2610" w14:font="MS Gothic"/>
                </w14:checkbox>
              </w:sdtPr>
              <w:sdtEndPr/>
              <w:sdtContent>
                <w:r w:rsidR="004A4C6A">
                  <w:rPr>
                    <w:rFonts w:ascii="MS Gothic" w:eastAsia="MS Gothic" w:hAnsi="MS Gothic" w:hint="eastAsia"/>
                    <w:sz w:val="22"/>
                  </w:rPr>
                  <w:t>☐</w:t>
                </w:r>
              </w:sdtContent>
            </w:sdt>
          </w:p>
        </w:tc>
        <w:tc>
          <w:tcPr>
            <w:tcW w:w="3351"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1A33E5A5" w14:textId="74A1A79E" w:rsidR="00613AD4" w:rsidRPr="00C85643" w:rsidRDefault="00736533" w:rsidP="00613AD4">
            <w:pPr>
              <w:pStyle w:val="Text1"/>
              <w:spacing w:before="60" w:after="60"/>
              <w:ind w:left="0" w:right="-25"/>
              <w:jc w:val="center"/>
              <w:rPr>
                <w:rFonts w:eastAsia="MS Gothic"/>
                <w:color w:val="0D0D0D" w:themeColor="text1" w:themeTint="F2"/>
              </w:rPr>
            </w:pPr>
            <w:r>
              <w:rPr>
                <w:rFonts w:eastAsia="MS Gothic"/>
                <w:color w:val="0D0D0D" w:themeColor="text1" w:themeTint="F2"/>
              </w:rPr>
              <w:t>YES</w:t>
            </w:r>
          </w:p>
          <w:p w14:paraId="53FDAE87" w14:textId="1A495132" w:rsidR="00613AD4" w:rsidRDefault="00BA266A"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094627389"/>
                <w14:checkbox>
                  <w14:checked w14:val="1"/>
                  <w14:checkedState w14:val="2612" w14:font="MS Gothic"/>
                  <w14:uncheckedState w14:val="2610" w14:font="MS Gothic"/>
                </w14:checkbox>
              </w:sdtPr>
              <w:sdtEndPr/>
              <w:sdtContent>
                <w:r w:rsidR="004A4C6A">
                  <w:rPr>
                    <w:rFonts w:ascii="MS Gothic" w:eastAsia="MS Gothic" w:hAnsi="MS Gothic" w:hint="eastAsia"/>
                    <w:color w:val="0D0D0D" w:themeColor="text1" w:themeTint="F2"/>
                    <w:sz w:val="22"/>
                  </w:rPr>
                  <w:t>☒</w:t>
                </w:r>
              </w:sdtContent>
            </w:sdt>
          </w:p>
          <w:p w14:paraId="7AD4C5A4" w14:textId="77777777" w:rsidR="004A4C6A" w:rsidRPr="005D6559" w:rsidRDefault="004A4C6A" w:rsidP="00613AD4">
            <w:pPr>
              <w:pStyle w:val="Text1"/>
              <w:spacing w:before="60" w:after="60"/>
              <w:ind w:left="0" w:right="-25"/>
              <w:jc w:val="center"/>
              <w:rPr>
                <w:rFonts w:eastAsia="MS Gothic"/>
                <w:color w:val="0D0D0D" w:themeColor="text1" w:themeTint="F2"/>
                <w:sz w:val="22"/>
              </w:rPr>
            </w:pPr>
          </w:p>
          <w:p w14:paraId="461D44BD" w14:textId="632D728E" w:rsidR="00613AD4" w:rsidRDefault="00BA266A"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849610438"/>
                <w14:checkbox>
                  <w14:checked w14:val="1"/>
                  <w14:checkedState w14:val="2612" w14:font="MS Gothic"/>
                  <w14:uncheckedState w14:val="2610" w14:font="MS Gothic"/>
                </w14:checkbox>
              </w:sdtPr>
              <w:sdtEndPr/>
              <w:sdtContent>
                <w:r w:rsidR="004A4C6A">
                  <w:rPr>
                    <w:rFonts w:ascii="MS Gothic" w:eastAsia="MS Gothic" w:hAnsi="MS Gothic" w:hint="eastAsia"/>
                    <w:color w:val="0D0D0D" w:themeColor="text1" w:themeTint="F2"/>
                    <w:sz w:val="22"/>
                  </w:rPr>
                  <w:t>☒</w:t>
                </w:r>
              </w:sdtContent>
            </w:sdt>
          </w:p>
          <w:p w14:paraId="0A34A03C" w14:textId="77777777" w:rsidR="004A4C6A" w:rsidRPr="005D6559" w:rsidRDefault="004A4C6A" w:rsidP="00613AD4">
            <w:pPr>
              <w:pStyle w:val="Text1"/>
              <w:spacing w:before="60" w:after="60"/>
              <w:ind w:left="0" w:right="-25"/>
              <w:jc w:val="center"/>
              <w:rPr>
                <w:rFonts w:eastAsia="MS Gothic"/>
                <w:color w:val="0D0D0D" w:themeColor="text1" w:themeTint="F2"/>
                <w:sz w:val="22"/>
              </w:rPr>
            </w:pPr>
          </w:p>
          <w:p w14:paraId="6BE2DC60" w14:textId="65F2F1BE" w:rsidR="00613AD4" w:rsidRDefault="00BA266A"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62783868"/>
                <w14:checkbox>
                  <w14:checked w14:val="0"/>
                  <w14:checkedState w14:val="2612" w14:font="MS Gothic"/>
                  <w14:uncheckedState w14:val="2610" w14:font="MS Gothic"/>
                </w14:checkbox>
              </w:sdtPr>
              <w:sdtEndPr/>
              <w:sdtContent>
                <w:r w:rsidR="004A4C6A">
                  <w:rPr>
                    <w:rFonts w:ascii="MS Gothic" w:eastAsia="MS Gothic" w:hAnsi="MS Gothic" w:hint="eastAsia"/>
                    <w:color w:val="0D0D0D" w:themeColor="text1" w:themeTint="F2"/>
                    <w:sz w:val="22"/>
                  </w:rPr>
                  <w:t>☐</w:t>
                </w:r>
              </w:sdtContent>
            </w:sdt>
          </w:p>
          <w:p w14:paraId="69EC425D" w14:textId="77777777" w:rsidR="004A4C6A" w:rsidRPr="005D6559" w:rsidRDefault="004A4C6A" w:rsidP="00613AD4">
            <w:pPr>
              <w:pStyle w:val="Text1"/>
              <w:spacing w:before="60" w:after="60"/>
              <w:ind w:left="0" w:right="-25"/>
              <w:jc w:val="center"/>
              <w:rPr>
                <w:rFonts w:eastAsia="MS Gothic"/>
                <w:color w:val="0D0D0D" w:themeColor="text1" w:themeTint="F2"/>
                <w:sz w:val="22"/>
              </w:rPr>
            </w:pPr>
          </w:p>
          <w:p w14:paraId="46735A51" w14:textId="36B6D0A2" w:rsidR="004A4C6A" w:rsidRPr="005D6559" w:rsidRDefault="00BA266A" w:rsidP="004A4C6A">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910540456"/>
                <w14:checkbox>
                  <w14:checked w14:val="0"/>
                  <w14:checkedState w14:val="2612" w14:font="MS Gothic"/>
                  <w14:uncheckedState w14:val="2610" w14:font="MS Gothic"/>
                </w14:checkbox>
              </w:sdtPr>
              <w:sdtEndPr/>
              <w:sdtContent>
                <w:r w:rsidR="004A4C6A">
                  <w:rPr>
                    <w:rFonts w:ascii="MS Gothic" w:eastAsia="MS Gothic" w:hAnsi="MS Gothic" w:hint="eastAsia"/>
                    <w:color w:val="0D0D0D" w:themeColor="text1" w:themeTint="F2"/>
                    <w:sz w:val="22"/>
                  </w:rPr>
                  <w:t>☐</w:t>
                </w:r>
              </w:sdtContent>
            </w:sdt>
          </w:p>
          <w:p w14:paraId="59149176" w14:textId="09D0EB05" w:rsidR="00613AD4" w:rsidRPr="00613AD4" w:rsidRDefault="00BA266A" w:rsidP="00613AD4">
            <w:pPr>
              <w:pStyle w:val="Text1"/>
              <w:spacing w:before="60" w:after="60"/>
              <w:ind w:left="0" w:right="-25"/>
              <w:jc w:val="center"/>
              <w:rPr>
                <w:rFonts w:eastAsia="MS Gothic"/>
                <w:color w:val="0D0D0D" w:themeColor="text1" w:themeTint="F2"/>
              </w:rPr>
            </w:pPr>
            <w:sdt>
              <w:sdtPr>
                <w:rPr>
                  <w:rFonts w:eastAsia="MS Gothic"/>
                  <w:color w:val="0D0D0D" w:themeColor="text1" w:themeTint="F2"/>
                </w:rPr>
                <w:id w:val="-1196846098"/>
                <w14:checkbox>
                  <w14:checked w14:val="1"/>
                  <w14:checkedState w14:val="2612" w14:font="MS Gothic"/>
                  <w14:uncheckedState w14:val="2610" w14:font="MS Gothic"/>
                </w14:checkbox>
              </w:sdtPr>
              <w:sdtEndPr/>
              <w:sdtContent>
                <w:r w:rsidR="004A4C6A">
                  <w:rPr>
                    <w:rFonts w:ascii="MS Gothic" w:eastAsia="MS Gothic" w:hAnsi="MS Gothic" w:hint="eastAsia"/>
                    <w:color w:val="0D0D0D" w:themeColor="text1" w:themeTint="F2"/>
                  </w:rPr>
                  <w:t>☒</w:t>
                </w:r>
              </w:sdtContent>
            </w:sdt>
          </w:p>
        </w:tc>
      </w:tr>
      <w:tr w:rsidR="001A2578" w:rsidRPr="008704EA" w14:paraId="289D721C" w14:textId="77777777" w:rsidTr="2E41943B">
        <w:trPr>
          <w:trHeight w:val="40"/>
        </w:trPr>
        <w:tc>
          <w:tcPr>
            <w:tcW w:w="2127" w:type="dxa"/>
            <w:vMerge/>
          </w:tcPr>
          <w:p w14:paraId="4E9C1BAA" w14:textId="77777777" w:rsidR="001A2578" w:rsidRPr="003C0CD7" w:rsidRDefault="001A2578" w:rsidP="001A2578">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5DE25BE" w14:textId="6D7D2F7A" w:rsidR="001A2578" w:rsidRPr="003C0CD7" w:rsidRDefault="001A2578" w:rsidP="00F915B9">
            <w:pPr>
              <w:pStyle w:val="Text1"/>
              <w:spacing w:before="60" w:after="60"/>
              <w:ind w:left="0" w:right="-25"/>
              <w:jc w:val="left"/>
              <w:rPr>
                <w:color w:val="0D0D0D" w:themeColor="text1" w:themeTint="F2"/>
              </w:rPr>
            </w:pPr>
            <w:r w:rsidRPr="00F915B9">
              <w:t xml:space="preserve">Connectivity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5AD3D2" w14:textId="77777777" w:rsidR="001A2578" w:rsidRPr="003775F2" w:rsidRDefault="00BA266A"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075093998"/>
                <w14:checkbox>
                  <w14:checked w14:val="0"/>
                  <w14:checkedState w14:val="2612" w14:font="MS Gothic"/>
                  <w14:uncheckedState w14:val="2610" w14:font="MS Gothic"/>
                </w14:checkbox>
              </w:sdtPr>
              <w:sdtEndPr/>
              <w:sdtContent>
                <w:r w:rsidR="001A2578" w:rsidRPr="005D6559">
                  <w:rPr>
                    <w:rFonts w:ascii="Segoe UI Symbol" w:eastAsia="MS Gothic" w:hAnsi="Segoe UI Symbol" w:cs="Segoe UI Symbol"/>
                    <w:color w:val="0D0D0D" w:themeColor="text1" w:themeTint="F2"/>
                    <w:sz w:val="2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257D0B6A" w14:textId="28AEB764" w:rsidR="001A2578" w:rsidRPr="003775F2" w:rsidRDefault="00BA266A"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795551659"/>
                <w14:checkbox>
                  <w14:checked w14:val="1"/>
                  <w14:checkedState w14:val="2612" w14:font="MS Gothic"/>
                  <w14:uncheckedState w14:val="2610" w14:font="MS Gothic"/>
                </w14:checkbox>
              </w:sdtPr>
              <w:sdtEndPr/>
              <w:sdtContent>
                <w:r w:rsidR="004A4C6A">
                  <w:rPr>
                    <w:rFonts w:ascii="MS Gothic" w:eastAsia="MS Gothic" w:hAnsi="MS Gothic" w:hint="eastAsia"/>
                    <w:color w:val="0D0D0D" w:themeColor="text1" w:themeTint="F2"/>
                    <w:sz w:val="2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2B991B" w14:textId="77777777" w:rsidR="001A2578" w:rsidRPr="003775F2" w:rsidRDefault="00BA266A"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97014815"/>
                <w14:checkbox>
                  <w14:checked w14:val="0"/>
                  <w14:checkedState w14:val="2612" w14:font="MS Gothic"/>
                  <w14:uncheckedState w14:val="2610" w14:font="MS Gothic"/>
                </w14:checkbox>
              </w:sdtPr>
              <w:sdtEndPr/>
              <w:sdtContent>
                <w:r w:rsidR="000B3212">
                  <w:rPr>
                    <w:rFonts w:ascii="MS Gothic" w:eastAsia="MS Gothic" w:hAnsi="MS Gothic" w:hint="eastAsia"/>
                    <w:color w:val="0D0D0D" w:themeColor="text1" w:themeTint="F2"/>
                    <w:sz w:val="22"/>
                  </w:rPr>
                  <w:t>☐</w:t>
                </w:r>
              </w:sdtContent>
            </w:sdt>
          </w:p>
        </w:tc>
      </w:tr>
      <w:tr w:rsidR="00880E95" w:rsidRPr="008704EA" w14:paraId="36BE91AE" w14:textId="77777777" w:rsidTr="2E41943B">
        <w:trPr>
          <w:trHeight w:val="40"/>
        </w:trPr>
        <w:tc>
          <w:tcPr>
            <w:tcW w:w="2127" w:type="dxa"/>
            <w:vMerge/>
          </w:tcPr>
          <w:p w14:paraId="3B2F52B8" w14:textId="77777777" w:rsidR="00613AD4" w:rsidRPr="003C0CD7" w:rsidRDefault="00613AD4" w:rsidP="001A2578">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DE6943C" w14:textId="77777777" w:rsidR="00613AD4" w:rsidRDefault="00613AD4" w:rsidP="001A2578">
            <w:pPr>
              <w:pStyle w:val="Text1"/>
              <w:spacing w:before="60" w:after="60"/>
              <w:ind w:left="0" w:right="-25"/>
              <w:jc w:val="left"/>
            </w:pPr>
            <w:r>
              <w:t>Tags</w:t>
            </w:r>
          </w:p>
          <w:p w14:paraId="61D1848E" w14:textId="77777777" w:rsidR="00613AD4" w:rsidRPr="005D6559" w:rsidRDefault="00613AD4" w:rsidP="001A2578">
            <w:pPr>
              <w:pStyle w:val="Text1"/>
              <w:spacing w:before="60" w:after="60"/>
              <w:ind w:left="720" w:right="-25"/>
              <w:jc w:val="left"/>
            </w:pPr>
            <w:r>
              <w:t>digital connectivity</w:t>
            </w:r>
          </w:p>
          <w:p w14:paraId="3DD735B8" w14:textId="77777777" w:rsidR="00613AD4" w:rsidRPr="005D6559" w:rsidRDefault="00613AD4" w:rsidP="001A2578">
            <w:pPr>
              <w:pStyle w:val="Text1"/>
              <w:spacing w:before="60" w:after="60"/>
              <w:ind w:left="720" w:right="-25"/>
              <w:jc w:val="left"/>
            </w:pPr>
            <w:r w:rsidRPr="005D6559">
              <w:t>energy</w:t>
            </w:r>
          </w:p>
          <w:p w14:paraId="0434B089" w14:textId="77777777" w:rsidR="00613AD4" w:rsidRDefault="00613AD4" w:rsidP="001A2578">
            <w:pPr>
              <w:pStyle w:val="Text1"/>
              <w:spacing w:before="60" w:after="60"/>
              <w:ind w:left="720" w:right="-25"/>
              <w:jc w:val="left"/>
            </w:pPr>
            <w:r>
              <w:t>transport</w:t>
            </w:r>
          </w:p>
          <w:p w14:paraId="5EEFADD0" w14:textId="77777777" w:rsidR="00613AD4" w:rsidRDefault="00613AD4" w:rsidP="003775F2">
            <w:pPr>
              <w:pStyle w:val="Text1"/>
              <w:spacing w:before="60" w:after="60"/>
              <w:ind w:left="720" w:right="-25"/>
              <w:jc w:val="left"/>
            </w:pPr>
            <w:r>
              <w:t>health</w:t>
            </w:r>
          </w:p>
          <w:p w14:paraId="43B975CA" w14:textId="1543A3CD" w:rsidR="00613AD4" w:rsidRPr="003775F2" w:rsidRDefault="00613AD4" w:rsidP="003775F2">
            <w:pPr>
              <w:pStyle w:val="Text1"/>
              <w:spacing w:before="60" w:after="60"/>
              <w:ind w:left="720" w:right="-25"/>
              <w:jc w:val="left"/>
            </w:pPr>
            <w:r>
              <w:t>education and research</w:t>
            </w:r>
          </w:p>
        </w:tc>
        <w:tc>
          <w:tcPr>
            <w:tcW w:w="2745"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6B763FCC" w14:textId="77777777" w:rsidR="00613AD4" w:rsidRPr="0082062A" w:rsidRDefault="00736533" w:rsidP="00613AD4">
            <w:pPr>
              <w:pStyle w:val="Text1"/>
              <w:spacing w:before="60" w:after="60"/>
              <w:ind w:left="0" w:right="-25"/>
              <w:jc w:val="center"/>
              <w:rPr>
                <w:rFonts w:eastAsia="MS Gothic"/>
              </w:rPr>
            </w:pPr>
            <w:r>
              <w:rPr>
                <w:rFonts w:eastAsia="MS Gothic"/>
              </w:rPr>
              <w:t>NO</w:t>
            </w:r>
          </w:p>
          <w:p w14:paraId="327A5B76" w14:textId="77777777" w:rsidR="00B11CB4" w:rsidRDefault="00BA266A" w:rsidP="00B11CB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1474404"/>
                <w14:checkbox>
                  <w14:checked w14:val="0"/>
                  <w14:checkedState w14:val="2612" w14:font="MS Gothic"/>
                  <w14:uncheckedState w14:val="2610" w14:font="MS Gothic"/>
                </w14:checkbox>
              </w:sdtPr>
              <w:sdtEndPr/>
              <w:sdtContent>
                <w:r w:rsidR="00B11CB4" w:rsidRPr="002719BB">
                  <w:rPr>
                    <w:rFonts w:ascii="MS Gothic" w:eastAsia="MS Gothic" w:hAnsi="MS Gothic" w:cs="Segoe UI Symbol" w:hint="eastAsia"/>
                    <w:sz w:val="22"/>
                    <w:szCs w:val="22"/>
                  </w:rPr>
                  <w:t>☐</w:t>
                </w:r>
              </w:sdtContent>
            </w:sdt>
          </w:p>
          <w:p w14:paraId="328F6199" w14:textId="77777777" w:rsidR="006C6E4E" w:rsidRPr="002719BB" w:rsidRDefault="006C6E4E" w:rsidP="00B11CB4">
            <w:pPr>
              <w:pStyle w:val="Text1"/>
              <w:spacing w:before="60" w:after="60"/>
              <w:ind w:left="0" w:right="-25"/>
              <w:jc w:val="center"/>
              <w:rPr>
                <w:rFonts w:ascii="Segoe UI Symbol" w:eastAsia="MS Gothic" w:hAnsi="Segoe UI Symbol" w:cs="Segoe UI Symbol"/>
                <w:sz w:val="22"/>
                <w:szCs w:val="22"/>
              </w:rPr>
            </w:pPr>
          </w:p>
          <w:p w14:paraId="1B139C81" w14:textId="654F3C18" w:rsidR="00B11CB4" w:rsidRPr="002719BB" w:rsidRDefault="00BA266A" w:rsidP="00B11CB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948053504"/>
                <w14:checkbox>
                  <w14:checked w14:val="1"/>
                  <w14:checkedState w14:val="2612" w14:font="MS Gothic"/>
                  <w14:uncheckedState w14:val="2610" w14:font="MS Gothic"/>
                </w14:checkbox>
              </w:sdtPr>
              <w:sdtEndPr/>
              <w:sdtContent>
                <w:r w:rsidR="00196CEB">
                  <w:rPr>
                    <w:rFonts w:ascii="MS Gothic" w:eastAsia="MS Gothic" w:hAnsi="MS Gothic" w:cs="Segoe UI Symbol" w:hint="eastAsia"/>
                    <w:sz w:val="22"/>
                    <w:szCs w:val="22"/>
                  </w:rPr>
                  <w:t>☒</w:t>
                </w:r>
              </w:sdtContent>
            </w:sdt>
          </w:p>
          <w:p w14:paraId="5A67C426" w14:textId="495A53D6" w:rsidR="00B11CB4" w:rsidRPr="002719BB" w:rsidRDefault="00BA266A" w:rsidP="00B11CB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68495646"/>
                <w14:checkbox>
                  <w14:checked w14:val="0"/>
                  <w14:checkedState w14:val="2612" w14:font="MS Gothic"/>
                  <w14:uncheckedState w14:val="2610" w14:font="MS Gothic"/>
                </w14:checkbox>
              </w:sdtPr>
              <w:sdtEndPr/>
              <w:sdtContent>
                <w:r w:rsidR="00196CEB">
                  <w:rPr>
                    <w:rFonts w:ascii="MS Gothic" w:eastAsia="MS Gothic" w:hAnsi="MS Gothic" w:cs="Segoe UI Symbol" w:hint="eastAsia"/>
                    <w:sz w:val="22"/>
                    <w:szCs w:val="22"/>
                  </w:rPr>
                  <w:t>☐</w:t>
                </w:r>
              </w:sdtContent>
            </w:sdt>
          </w:p>
          <w:p w14:paraId="59DCC3FD" w14:textId="48A9ECB5" w:rsidR="00B11CB4" w:rsidRDefault="00BA266A" w:rsidP="00B11CB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41295313"/>
                <w14:checkbox>
                  <w14:checked w14:val="1"/>
                  <w14:checkedState w14:val="2612" w14:font="MS Gothic"/>
                  <w14:uncheckedState w14:val="2610" w14:font="MS Gothic"/>
                </w14:checkbox>
              </w:sdtPr>
              <w:sdtEndPr/>
              <w:sdtContent>
                <w:r w:rsidR="00196CEB">
                  <w:rPr>
                    <w:rFonts w:ascii="MS Gothic" w:eastAsia="MS Gothic" w:hAnsi="MS Gothic" w:cs="Segoe UI Symbol" w:hint="eastAsia"/>
                    <w:sz w:val="22"/>
                    <w:szCs w:val="22"/>
                  </w:rPr>
                  <w:t>☒</w:t>
                </w:r>
              </w:sdtContent>
            </w:sdt>
          </w:p>
          <w:p w14:paraId="2EE9E5B8" w14:textId="72C24154" w:rsidR="004A4C6A" w:rsidRDefault="00BA266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0745379"/>
                <w14:checkbox>
                  <w14:checked w14:val="1"/>
                  <w14:checkedState w14:val="2612" w14:font="MS Gothic"/>
                  <w14:uncheckedState w14:val="2610" w14:font="MS Gothic"/>
                </w14:checkbox>
              </w:sdtPr>
              <w:sdtEndPr/>
              <w:sdtContent>
                <w:r w:rsidR="006C6E4E">
                  <w:rPr>
                    <w:rFonts w:ascii="MS Gothic" w:eastAsia="MS Gothic" w:hAnsi="MS Gothic" w:cs="Segoe UI Symbol" w:hint="eastAsia"/>
                    <w:sz w:val="22"/>
                    <w:szCs w:val="22"/>
                  </w:rPr>
                  <w:t>☒</w:t>
                </w:r>
              </w:sdtContent>
            </w:sdt>
          </w:p>
        </w:tc>
        <w:tc>
          <w:tcPr>
            <w:tcW w:w="3351"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0EB2D416" w14:textId="77777777" w:rsidR="00613AD4" w:rsidRPr="0082062A" w:rsidRDefault="00736533" w:rsidP="00613AD4">
            <w:pPr>
              <w:pStyle w:val="Text1"/>
              <w:spacing w:before="60" w:after="60"/>
              <w:ind w:left="0" w:right="-25"/>
              <w:jc w:val="center"/>
              <w:rPr>
                <w:rFonts w:eastAsia="MS Gothic"/>
              </w:rPr>
            </w:pPr>
            <w:r>
              <w:rPr>
                <w:rFonts w:eastAsia="MS Gothic"/>
              </w:rPr>
              <w:t>YES</w:t>
            </w:r>
          </w:p>
          <w:p w14:paraId="7D7F0D94" w14:textId="6A1D81F2" w:rsidR="00B11CB4" w:rsidRDefault="00BA266A" w:rsidP="00B11CB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76816427"/>
                <w14:checkbox>
                  <w14:checked w14:val="1"/>
                  <w14:checkedState w14:val="2612" w14:font="MS Gothic"/>
                  <w14:uncheckedState w14:val="2610" w14:font="MS Gothic"/>
                </w14:checkbox>
              </w:sdtPr>
              <w:sdtEndPr/>
              <w:sdtContent>
                <w:r w:rsidR="00B11CB4">
                  <w:rPr>
                    <w:rFonts w:ascii="MS Gothic" w:eastAsia="MS Gothic" w:hAnsi="MS Gothic" w:cs="Segoe UI Symbol" w:hint="eastAsia"/>
                    <w:sz w:val="22"/>
                    <w:szCs w:val="22"/>
                  </w:rPr>
                  <w:t>☒</w:t>
                </w:r>
              </w:sdtContent>
            </w:sdt>
          </w:p>
          <w:p w14:paraId="11AE561E" w14:textId="77777777" w:rsidR="006C6E4E" w:rsidRPr="002719BB" w:rsidRDefault="006C6E4E" w:rsidP="00B11CB4">
            <w:pPr>
              <w:pStyle w:val="Text1"/>
              <w:spacing w:before="60" w:after="60"/>
              <w:ind w:left="0" w:right="-25"/>
              <w:jc w:val="center"/>
              <w:rPr>
                <w:rFonts w:ascii="Segoe UI Symbol" w:eastAsia="MS Gothic" w:hAnsi="Segoe UI Symbol" w:cs="Segoe UI Symbol"/>
                <w:sz w:val="22"/>
                <w:szCs w:val="22"/>
              </w:rPr>
            </w:pPr>
          </w:p>
          <w:p w14:paraId="0E38F2CF" w14:textId="2A230732" w:rsidR="00B11CB4" w:rsidRPr="002719BB" w:rsidRDefault="00BA266A" w:rsidP="00B11CB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429965098"/>
                <w14:checkbox>
                  <w14:checked w14:val="0"/>
                  <w14:checkedState w14:val="2612" w14:font="MS Gothic"/>
                  <w14:uncheckedState w14:val="2610" w14:font="MS Gothic"/>
                </w14:checkbox>
              </w:sdtPr>
              <w:sdtEndPr/>
              <w:sdtContent>
                <w:r w:rsidR="00196CEB">
                  <w:rPr>
                    <w:rFonts w:ascii="MS Gothic" w:eastAsia="MS Gothic" w:hAnsi="MS Gothic" w:cs="Segoe UI Symbol" w:hint="eastAsia"/>
                    <w:sz w:val="22"/>
                    <w:szCs w:val="22"/>
                  </w:rPr>
                  <w:t>☐</w:t>
                </w:r>
              </w:sdtContent>
            </w:sdt>
          </w:p>
          <w:p w14:paraId="39C7B568" w14:textId="0ADDCA8A" w:rsidR="00B11CB4" w:rsidRPr="002719BB" w:rsidRDefault="00BA266A" w:rsidP="00B11CB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091813327"/>
                <w14:checkbox>
                  <w14:checked w14:val="1"/>
                  <w14:checkedState w14:val="2612" w14:font="MS Gothic"/>
                  <w14:uncheckedState w14:val="2610" w14:font="MS Gothic"/>
                </w14:checkbox>
              </w:sdtPr>
              <w:sdtEndPr/>
              <w:sdtContent>
                <w:r w:rsidR="00196CEB">
                  <w:rPr>
                    <w:rFonts w:ascii="MS Gothic" w:eastAsia="MS Gothic" w:hAnsi="MS Gothic" w:cs="Segoe UI Symbol" w:hint="eastAsia"/>
                    <w:sz w:val="22"/>
                    <w:szCs w:val="22"/>
                  </w:rPr>
                  <w:t>☒</w:t>
                </w:r>
              </w:sdtContent>
            </w:sdt>
          </w:p>
          <w:p w14:paraId="3D873830" w14:textId="2C437780" w:rsidR="00B11CB4" w:rsidRPr="002719BB" w:rsidRDefault="00BA266A" w:rsidP="00B11CB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26983869"/>
                <w14:checkbox>
                  <w14:checked w14:val="0"/>
                  <w14:checkedState w14:val="2612" w14:font="MS Gothic"/>
                  <w14:uncheckedState w14:val="2610" w14:font="MS Gothic"/>
                </w14:checkbox>
              </w:sdtPr>
              <w:sdtEndPr/>
              <w:sdtContent>
                <w:r w:rsidR="00196CEB">
                  <w:rPr>
                    <w:rFonts w:ascii="MS Gothic" w:eastAsia="MS Gothic" w:hAnsi="MS Gothic" w:cs="Segoe UI Symbol" w:hint="eastAsia"/>
                    <w:sz w:val="22"/>
                    <w:szCs w:val="22"/>
                  </w:rPr>
                  <w:t>☐</w:t>
                </w:r>
              </w:sdtContent>
            </w:sdt>
          </w:p>
          <w:p w14:paraId="1848AA6B" w14:textId="07836860" w:rsidR="00613AD4" w:rsidRDefault="00BA266A"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121607374"/>
                <w14:checkbox>
                  <w14:checked w14:val="0"/>
                  <w14:checkedState w14:val="2612" w14:font="MS Gothic"/>
                  <w14:uncheckedState w14:val="2610" w14:font="MS Gothic"/>
                </w14:checkbox>
              </w:sdtPr>
              <w:sdtEndPr/>
              <w:sdtContent>
                <w:r w:rsidR="00B11CB4" w:rsidRPr="002719BB">
                  <w:rPr>
                    <w:rFonts w:ascii="MS Gothic" w:eastAsia="MS Gothic" w:hAnsi="MS Gothic" w:cs="Segoe UI Symbol" w:hint="eastAsia"/>
                    <w:sz w:val="22"/>
                    <w:szCs w:val="22"/>
                  </w:rPr>
                  <w:t>☐</w:t>
                </w:r>
              </w:sdtContent>
            </w:sdt>
          </w:p>
        </w:tc>
      </w:tr>
      <w:tr w:rsidR="001A2578" w:rsidRPr="008704EA" w14:paraId="663C56C9" w14:textId="77777777" w:rsidTr="2E41943B">
        <w:trPr>
          <w:trHeight w:val="40"/>
        </w:trPr>
        <w:tc>
          <w:tcPr>
            <w:tcW w:w="2127" w:type="dxa"/>
            <w:vMerge/>
          </w:tcPr>
          <w:p w14:paraId="47E78CA3" w14:textId="77777777" w:rsidR="001A2578" w:rsidRPr="003C0CD7" w:rsidRDefault="001A2578" w:rsidP="001A2578">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0B2D8C" w14:textId="76934FFB" w:rsidR="001A2578" w:rsidRPr="0082062A" w:rsidRDefault="001A2578" w:rsidP="0082062A">
            <w:pPr>
              <w:jc w:val="left"/>
              <w:rPr>
                <w:lang w:eastAsia="en-IE"/>
              </w:rPr>
            </w:pPr>
            <w:r w:rsidRPr="005D6559">
              <w:t>Migration</w:t>
            </w:r>
            <w:r w:rsidR="00091845" w:rsidRPr="00FD71E4">
              <w:rPr>
                <w:rStyle w:val="Hyperlink"/>
                <w:u w:val="none"/>
              </w:rPr>
              <w:t xml:space="preserve"> </w:t>
            </w:r>
            <w:r w:rsidRPr="001C3485">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F0FA7" w14:textId="72C62BB5" w:rsidR="001A2578" w:rsidRPr="003C0CD7" w:rsidRDefault="00BA266A" w:rsidP="001A2578">
            <w:pPr>
              <w:pStyle w:val="Text1"/>
              <w:spacing w:before="60" w:after="60"/>
              <w:ind w:left="0" w:right="-25"/>
              <w:jc w:val="left"/>
              <w:rPr>
                <w:rFonts w:ascii="Segoe UI Symbol" w:eastAsia="MS Gothic" w:hAnsi="Segoe UI Symbol" w:cs="Segoe UI Symbol"/>
                <w:color w:val="0D0D0D" w:themeColor="text1" w:themeTint="F2"/>
              </w:rPr>
            </w:pPr>
            <w:sdt>
              <w:sdtPr>
                <w:rPr>
                  <w:rFonts w:ascii="Segoe UI Symbol" w:eastAsia="MS Gothic" w:hAnsi="Segoe UI Symbol" w:cs="Segoe UI Symbol"/>
                  <w:color w:val="0D0D0D" w:themeColor="text1" w:themeTint="F2"/>
                </w:rPr>
                <w:id w:val="-129093535"/>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7468518E" w14:textId="77777777" w:rsidR="001A2578" w:rsidRPr="003C0CD7" w:rsidRDefault="00BA266A" w:rsidP="001A2578">
            <w:pPr>
              <w:pStyle w:val="Text1"/>
              <w:spacing w:before="60" w:after="60"/>
              <w:ind w:left="0" w:right="-25"/>
              <w:jc w:val="left"/>
              <w:rPr>
                <w:rFonts w:ascii="Segoe UI Symbol" w:eastAsia="MS Gothic" w:hAnsi="Segoe UI Symbol" w:cs="Segoe UI Symbol"/>
                <w:color w:val="0D0D0D" w:themeColor="text1" w:themeTint="F2"/>
              </w:rPr>
            </w:pPr>
            <w:sdt>
              <w:sdtPr>
                <w:rPr>
                  <w:rFonts w:ascii="Segoe UI Symbol" w:eastAsia="MS Gothic" w:hAnsi="Segoe UI Symbol" w:cs="Segoe UI Symbol"/>
                  <w:color w:val="0D0D0D" w:themeColor="text1" w:themeTint="F2"/>
                </w:rPr>
                <w:id w:val="1267423059"/>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10DB742" w14:textId="55628293" w:rsidR="001A2578" w:rsidRPr="003C0CD7" w:rsidRDefault="00BA266A" w:rsidP="001A2578">
            <w:pPr>
              <w:pStyle w:val="Text1"/>
              <w:spacing w:before="60" w:after="60"/>
              <w:ind w:left="0" w:right="-25"/>
              <w:jc w:val="left"/>
              <w:rPr>
                <w:rFonts w:ascii="Segoe UI Symbol" w:eastAsia="MS Gothic" w:hAnsi="Segoe UI Symbol" w:cs="Segoe UI Symbol"/>
                <w:color w:val="0D0D0D" w:themeColor="text1" w:themeTint="F2"/>
              </w:rPr>
            </w:pPr>
            <w:sdt>
              <w:sdtPr>
                <w:rPr>
                  <w:rFonts w:ascii="Segoe UI Symbol" w:eastAsia="MS Gothic" w:hAnsi="Segoe UI Symbol" w:cs="Segoe UI Symbol"/>
                  <w:color w:val="0D0D0D" w:themeColor="text1" w:themeTint="F2"/>
                </w:rPr>
                <w:id w:val="1688097734"/>
                <w14:checkbox>
                  <w14:checked w14:val="0"/>
                  <w14:checkedState w14:val="2612" w14:font="MS Gothic"/>
                  <w14:uncheckedState w14:val="2610" w14:font="MS Gothic"/>
                </w14:checkbox>
              </w:sdtPr>
              <w:sdtEndPr/>
              <w:sdtContent>
                <w:r w:rsidR="00B11CB4" w:rsidRPr="003C0CD7">
                  <w:rPr>
                    <w:rFonts w:ascii="MS Gothic" w:eastAsia="MS Gothic" w:hAnsi="MS Gothic" w:cs="Segoe UI Symbol"/>
                    <w:color w:val="0D0D0D" w:themeColor="text1" w:themeTint="F2"/>
                  </w:rPr>
                  <w:t>☐</w:t>
                </w:r>
              </w:sdtContent>
            </w:sdt>
          </w:p>
        </w:tc>
      </w:tr>
      <w:tr w:rsidR="001A2578" w:rsidRPr="008704EA" w14:paraId="76DFA26F" w14:textId="77777777" w:rsidTr="2E41943B">
        <w:trPr>
          <w:trHeight w:val="40"/>
        </w:trPr>
        <w:tc>
          <w:tcPr>
            <w:tcW w:w="2127" w:type="dxa"/>
            <w:vMerge/>
          </w:tcPr>
          <w:p w14:paraId="33DA47DE" w14:textId="77777777" w:rsidR="001A2578" w:rsidRPr="003C0CD7" w:rsidRDefault="001A2578" w:rsidP="001A2578">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803EA3C" w14:textId="0C704959" w:rsidR="001A2578" w:rsidRPr="003C0CD7" w:rsidRDefault="001A2578" w:rsidP="001A2578">
            <w:pPr>
              <w:pStyle w:val="Text1"/>
              <w:spacing w:before="60" w:after="60"/>
              <w:ind w:left="0" w:right="-25"/>
              <w:jc w:val="left"/>
              <w:rPr>
                <w:color w:val="0D0D0D" w:themeColor="text1" w:themeTint="F2"/>
              </w:rPr>
            </w:pPr>
            <w:r>
              <w:t>Reduction of</w:t>
            </w:r>
            <w:r w:rsidRPr="005D6559">
              <w:t xml:space="preserve"> Inequalities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3DF0CA" w14:textId="77777777" w:rsidR="001A2578" w:rsidRDefault="00BA266A" w:rsidP="001A2578">
            <w:pPr>
              <w:pStyle w:val="Text1"/>
              <w:spacing w:before="60" w:after="60"/>
              <w:ind w:left="0" w:right="-25"/>
              <w:jc w:val="left"/>
              <w:rPr>
                <w:rFonts w:ascii="Segoe UI Symbol" w:eastAsia="MS Gothic" w:hAnsi="Segoe UI Symbol" w:cs="Segoe UI Symbol"/>
                <w:color w:val="0D0D0D" w:themeColor="text1" w:themeTint="F2"/>
              </w:rPr>
            </w:pPr>
            <w:sdt>
              <w:sdtPr>
                <w:rPr>
                  <w:rFonts w:ascii="Segoe UI Symbol" w:eastAsia="MS Gothic" w:hAnsi="Segoe UI Symbol" w:cs="Segoe UI Symbol"/>
                  <w:color w:val="0D0D0D" w:themeColor="text1" w:themeTint="F2"/>
                  <w:sz w:val="22"/>
                </w:rPr>
                <w:id w:val="-1302380195"/>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84B4BED" w14:textId="6DA8AE0E" w:rsidR="001A2578" w:rsidRDefault="00BA266A" w:rsidP="001A2578">
            <w:pPr>
              <w:pStyle w:val="Text1"/>
              <w:spacing w:before="60" w:after="60"/>
              <w:ind w:left="0" w:right="-25"/>
              <w:jc w:val="left"/>
              <w:rPr>
                <w:rFonts w:ascii="Segoe UI Symbol" w:eastAsia="MS Gothic" w:hAnsi="Segoe UI Symbol" w:cs="Segoe UI Symbol"/>
                <w:color w:val="0D0D0D" w:themeColor="text1" w:themeTint="F2"/>
              </w:rPr>
            </w:pPr>
            <w:sdt>
              <w:sdtPr>
                <w:rPr>
                  <w:rFonts w:ascii="Segoe UI Symbol" w:eastAsia="MS Gothic" w:hAnsi="Segoe UI Symbol" w:cs="Segoe UI Symbol"/>
                  <w:color w:val="0D0D0D" w:themeColor="text1" w:themeTint="F2"/>
                  <w:sz w:val="22"/>
                </w:rPr>
                <w:id w:val="-293833487"/>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sz w:val="2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AC9513" w14:textId="77777777" w:rsidR="001A2578" w:rsidRDefault="00BA266A" w:rsidP="001A2578">
            <w:pPr>
              <w:pStyle w:val="Text1"/>
              <w:spacing w:before="60" w:after="60"/>
              <w:ind w:left="0" w:right="-25"/>
              <w:jc w:val="left"/>
              <w:rPr>
                <w:rFonts w:ascii="Segoe UI Symbol" w:eastAsia="MS Gothic" w:hAnsi="Segoe UI Symbol" w:cs="Segoe UI Symbol"/>
                <w:color w:val="0D0D0D" w:themeColor="text1" w:themeTint="F2"/>
              </w:rPr>
            </w:pPr>
            <w:sdt>
              <w:sdtPr>
                <w:rPr>
                  <w:rFonts w:ascii="Segoe UI Symbol" w:eastAsia="MS Gothic" w:hAnsi="Segoe UI Symbol" w:cs="Segoe UI Symbol"/>
                  <w:color w:val="0D0D0D" w:themeColor="text1" w:themeTint="F2"/>
                  <w:sz w:val="22"/>
                </w:rPr>
                <w:id w:val="-1926022322"/>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r>
      <w:tr w:rsidR="001A2578" w:rsidRPr="008704EA" w14:paraId="356B401D" w14:textId="77777777" w:rsidTr="2E41943B">
        <w:trPr>
          <w:trHeight w:val="40"/>
        </w:trPr>
        <w:tc>
          <w:tcPr>
            <w:tcW w:w="2127" w:type="dxa"/>
            <w:vMerge/>
          </w:tcPr>
          <w:p w14:paraId="7C6786CA" w14:textId="77777777" w:rsidR="001A2578" w:rsidRPr="003C0CD7" w:rsidRDefault="001A2578" w:rsidP="001A2578">
            <w:pPr>
              <w:rPr>
                <w:rFonts w:cs="Times New Roman"/>
                <w:b/>
                <w:bCs/>
                <w:color w:val="0D0D0D" w:themeColor="text1" w:themeTint="F2"/>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AAAE700" w14:textId="77777777" w:rsidR="001A2578" w:rsidRPr="003C0CD7" w:rsidRDefault="001A2578" w:rsidP="001A2578">
            <w:pPr>
              <w:pStyle w:val="Text1"/>
              <w:spacing w:before="60" w:after="60"/>
              <w:ind w:left="0" w:right="-25"/>
              <w:jc w:val="left"/>
              <w:rPr>
                <w:color w:val="0D0D0D" w:themeColor="text1" w:themeTint="F2"/>
              </w:rPr>
            </w:pPr>
            <w:r>
              <w:t>COVID</w:t>
            </w:r>
            <w:r w:rsidRPr="003C0CD7">
              <w:t>-19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6CA8F6" w14:textId="7B2A3369" w:rsidR="001A2578" w:rsidRPr="003C0CD7" w:rsidRDefault="00BA266A" w:rsidP="001A2578">
            <w:pPr>
              <w:pStyle w:val="Text1"/>
              <w:spacing w:before="60" w:after="60"/>
              <w:ind w:left="0" w:right="-25"/>
              <w:jc w:val="left"/>
              <w:rPr>
                <w:rFonts w:ascii="Segoe UI Symbol" w:eastAsia="MS Gothic" w:hAnsi="Segoe UI Symbol" w:cs="Segoe UI Symbol"/>
                <w:color w:val="0D0D0D" w:themeColor="text1" w:themeTint="F2"/>
              </w:rPr>
            </w:pPr>
            <w:sdt>
              <w:sdtPr>
                <w:rPr>
                  <w:rFonts w:ascii="Segoe UI Symbol" w:eastAsia="MS Gothic" w:hAnsi="Segoe UI Symbol" w:cs="Segoe UI Symbol"/>
                  <w:color w:val="0D0D0D" w:themeColor="text1" w:themeTint="F2"/>
                </w:rPr>
                <w:id w:val="806739341"/>
                <w14:checkbox>
                  <w14:checked w14:val="1"/>
                  <w14:checkedState w14:val="2612" w14:font="MS Gothic"/>
                  <w14:uncheckedState w14:val="2610" w14:font="MS Gothic"/>
                </w14:checkbox>
              </w:sdtPr>
              <w:sdtEndPr/>
              <w:sdtContent>
                <w:r w:rsidR="0018736F">
                  <w:rPr>
                    <w:rFonts w:ascii="MS Gothic" w:eastAsia="MS Gothic" w:hAnsi="MS Gothic" w:cs="Segoe UI Symbol" w:hint="eastAsia"/>
                    <w:color w:val="0D0D0D" w:themeColor="text1" w:themeTint="F2"/>
                  </w:rPr>
                  <w:t>☒</w:t>
                </w:r>
              </w:sdtContent>
            </w:sdt>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89AEDE3" w14:textId="77777777" w:rsidR="001A2578" w:rsidRPr="003C0CD7" w:rsidRDefault="00BA266A" w:rsidP="001A2578">
            <w:pPr>
              <w:pStyle w:val="Text1"/>
              <w:spacing w:before="60" w:after="60"/>
              <w:ind w:left="0" w:right="-25"/>
              <w:jc w:val="left"/>
              <w:rPr>
                <w:rFonts w:ascii="Segoe UI Symbol" w:eastAsia="MS Gothic" w:hAnsi="Segoe UI Symbol" w:cs="Segoe UI Symbol"/>
                <w:color w:val="0D0D0D" w:themeColor="text1" w:themeTint="F2"/>
              </w:rPr>
            </w:pPr>
            <w:sdt>
              <w:sdtPr>
                <w:rPr>
                  <w:rFonts w:ascii="Segoe UI Symbol" w:eastAsia="MS Gothic" w:hAnsi="Segoe UI Symbol" w:cs="Segoe UI Symbol"/>
                  <w:color w:val="0D0D0D" w:themeColor="text1" w:themeTint="F2"/>
                </w:rPr>
                <w:id w:val="-544207791"/>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rPr>
                  <w:t>☐</w:t>
                </w:r>
              </w:sdtContent>
            </w:sdt>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A4F581" w14:textId="77777777" w:rsidR="001A2578" w:rsidRPr="003C0CD7" w:rsidRDefault="00BA266A" w:rsidP="001A2578">
            <w:pPr>
              <w:pStyle w:val="Text1"/>
              <w:spacing w:before="60" w:after="60"/>
              <w:ind w:left="0" w:right="-25"/>
              <w:jc w:val="left"/>
              <w:rPr>
                <w:rFonts w:ascii="Segoe UI Symbol" w:eastAsia="MS Gothic" w:hAnsi="Segoe UI Symbol" w:cs="Segoe UI Symbol"/>
                <w:color w:val="0D0D0D" w:themeColor="text1" w:themeTint="F2"/>
              </w:rPr>
            </w:pPr>
            <w:sdt>
              <w:sdtPr>
                <w:rPr>
                  <w:rFonts w:ascii="Segoe UI Symbol" w:eastAsia="MS Gothic" w:hAnsi="Segoe UI Symbol" w:cs="Segoe UI Symbol"/>
                  <w:color w:val="0D0D0D" w:themeColor="text1" w:themeTint="F2"/>
                </w:rPr>
                <w:id w:val="-761604646"/>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rPr>
                  <w:t>☐</w:t>
                </w:r>
              </w:sdtContent>
            </w:sdt>
          </w:p>
        </w:tc>
      </w:tr>
      <w:tr w:rsidR="001A2578" w:rsidRPr="008704EA" w14:paraId="5ABD7B42" w14:textId="77777777" w:rsidTr="2E41943B">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6E8761BD" w14:textId="77777777" w:rsidR="001A2578" w:rsidRPr="003C0CD7" w:rsidRDefault="001A2578" w:rsidP="001A2578">
            <w:pPr>
              <w:jc w:val="center"/>
              <w:rPr>
                <w:b/>
                <w:szCs w:val="24"/>
              </w:rPr>
            </w:pPr>
            <w:r w:rsidRPr="003C0CD7">
              <w:rPr>
                <w:b/>
                <w:szCs w:val="24"/>
              </w:rPr>
              <w:t>BUDGET INFORMATION</w:t>
            </w:r>
          </w:p>
        </w:tc>
      </w:tr>
      <w:tr w:rsidR="001A2578" w:rsidRPr="008704EA" w14:paraId="57C6E4A1" w14:textId="77777777" w:rsidTr="2E41943B">
        <w:tc>
          <w:tcPr>
            <w:tcW w:w="2127" w:type="dxa"/>
            <w:tcBorders>
              <w:top w:val="single" w:sz="4" w:space="0" w:color="auto"/>
              <w:left w:val="single" w:sz="4" w:space="0" w:color="auto"/>
              <w:bottom w:val="single" w:sz="4" w:space="0" w:color="auto"/>
              <w:right w:val="single" w:sz="4" w:space="0" w:color="auto"/>
            </w:tcBorders>
            <w:shd w:val="clear" w:color="auto" w:fill="auto"/>
          </w:tcPr>
          <w:p w14:paraId="322E6686" w14:textId="77777777" w:rsidR="001A2578" w:rsidRPr="003C0CD7" w:rsidRDefault="001A2578" w:rsidP="001A2578">
            <w:pPr>
              <w:pStyle w:val="Text1"/>
              <w:spacing w:before="60" w:after="60"/>
              <w:ind w:left="0"/>
              <w:jc w:val="left"/>
              <w:rPr>
                <w:b/>
                <w:color w:val="0D0D0D" w:themeColor="text1" w:themeTint="F2"/>
              </w:rPr>
            </w:pPr>
            <w:r w:rsidRPr="003C0CD7">
              <w:rPr>
                <w:b/>
                <w:color w:val="0D0D0D" w:themeColor="text1" w:themeTint="F2"/>
              </w:rPr>
              <w:t xml:space="preserve">Amounts </w:t>
            </w:r>
            <w:proofErr w:type="gramStart"/>
            <w:r w:rsidRPr="003C0CD7">
              <w:rPr>
                <w:b/>
                <w:color w:val="0D0D0D" w:themeColor="text1" w:themeTint="F2"/>
              </w:rPr>
              <w:t>concerned</w:t>
            </w:r>
            <w:proofErr w:type="gramEnd"/>
          </w:p>
          <w:p w14:paraId="391FEA76" w14:textId="77777777" w:rsidR="001A2578" w:rsidRPr="003C0CD7" w:rsidRDefault="001A2578" w:rsidP="001A2578">
            <w:pPr>
              <w:pStyle w:val="Text1"/>
              <w:spacing w:before="60" w:after="60"/>
              <w:ind w:left="0"/>
              <w:jc w:val="left"/>
              <w:rPr>
                <w:color w:val="0D0D0D" w:themeColor="text1" w:themeTint="F2"/>
              </w:rPr>
            </w:pP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18728B29" w14:textId="0E1DC5D2" w:rsidR="001A2578" w:rsidRPr="003C0CD7" w:rsidRDefault="001A2578" w:rsidP="001A2578">
            <w:pPr>
              <w:spacing w:before="120" w:after="120"/>
              <w:ind w:right="-25"/>
              <w:rPr>
                <w:szCs w:val="24"/>
              </w:rPr>
            </w:pPr>
            <w:r w:rsidRPr="003C0CD7">
              <w:rPr>
                <w:szCs w:val="24"/>
              </w:rPr>
              <w:t xml:space="preserve">Budget line: </w:t>
            </w:r>
            <w:r w:rsidR="006372A7" w:rsidRPr="006372A7">
              <w:rPr>
                <w:szCs w:val="24"/>
              </w:rPr>
              <w:t xml:space="preserve"> 15 02 02 01</w:t>
            </w:r>
          </w:p>
          <w:p w14:paraId="7D5152A5" w14:textId="47BD111F" w:rsidR="001A2578" w:rsidRPr="005C4F28" w:rsidRDefault="001A2578" w:rsidP="001A2578">
            <w:pPr>
              <w:spacing w:before="120" w:after="120"/>
              <w:ind w:right="-25"/>
              <w:rPr>
                <w:szCs w:val="24"/>
              </w:rPr>
            </w:pPr>
            <w:r w:rsidRPr="005C4F28">
              <w:rPr>
                <w:szCs w:val="24"/>
              </w:rPr>
              <w:t xml:space="preserve">Total estimated cost: EUR </w:t>
            </w:r>
            <w:r w:rsidR="00AA4AAF" w:rsidRPr="005C4F28">
              <w:rPr>
                <w:szCs w:val="24"/>
              </w:rPr>
              <w:t>44 500 000</w:t>
            </w:r>
          </w:p>
          <w:p w14:paraId="298040E9" w14:textId="197CAC5E" w:rsidR="006F3547" w:rsidRDefault="001A2578" w:rsidP="001A2578">
            <w:pPr>
              <w:spacing w:before="120"/>
              <w:ind w:right="-25"/>
              <w:rPr>
                <w:szCs w:val="24"/>
              </w:rPr>
            </w:pPr>
            <w:r w:rsidRPr="005C4F28">
              <w:rPr>
                <w:szCs w:val="24"/>
              </w:rPr>
              <w:t xml:space="preserve">Total amount of EU budget contribution </w:t>
            </w:r>
            <w:r w:rsidRPr="003B5313">
              <w:rPr>
                <w:b/>
                <w:bCs/>
                <w:szCs w:val="24"/>
              </w:rPr>
              <w:t xml:space="preserve">EUR </w:t>
            </w:r>
            <w:r w:rsidR="00AA4AAF" w:rsidRPr="003B5313">
              <w:rPr>
                <w:b/>
                <w:bCs/>
                <w:szCs w:val="24"/>
              </w:rPr>
              <w:t>44 500 000</w:t>
            </w:r>
            <w:r w:rsidRPr="004A4C6A">
              <w:rPr>
                <w:szCs w:val="24"/>
              </w:rPr>
              <w:t xml:space="preserve"> of which</w:t>
            </w:r>
            <w:r w:rsidR="00694DE1">
              <w:rPr>
                <w:szCs w:val="24"/>
              </w:rPr>
              <w:t xml:space="preserve"> </w:t>
            </w:r>
            <w:r w:rsidRPr="004A4C6A">
              <w:rPr>
                <w:szCs w:val="24"/>
              </w:rPr>
              <w:t xml:space="preserve">EUR </w:t>
            </w:r>
            <w:r w:rsidR="00054340" w:rsidRPr="004A4C6A">
              <w:rPr>
                <w:szCs w:val="24"/>
              </w:rPr>
              <w:t>28 000 000</w:t>
            </w:r>
            <w:r w:rsidRPr="004A4C6A">
              <w:rPr>
                <w:szCs w:val="24"/>
              </w:rPr>
              <w:t xml:space="preserve"> </w:t>
            </w:r>
            <w:r w:rsidR="00DC26F8">
              <w:rPr>
                <w:szCs w:val="24"/>
              </w:rPr>
              <w:t>in</w:t>
            </w:r>
            <w:r w:rsidRPr="004A4C6A">
              <w:rPr>
                <w:szCs w:val="24"/>
              </w:rPr>
              <w:t xml:space="preserve"> </w:t>
            </w:r>
            <w:r w:rsidR="006F3547" w:rsidRPr="004A4C6A">
              <w:rPr>
                <w:szCs w:val="24"/>
              </w:rPr>
              <w:t xml:space="preserve">direct </w:t>
            </w:r>
            <w:r w:rsidRPr="004A4C6A">
              <w:rPr>
                <w:szCs w:val="24"/>
              </w:rPr>
              <w:t>management</w:t>
            </w:r>
            <w:r w:rsidR="00DC26F8">
              <w:rPr>
                <w:szCs w:val="24"/>
              </w:rPr>
              <w:t>.</w:t>
            </w:r>
          </w:p>
          <w:p w14:paraId="1BF0E89C" w14:textId="6EEDDFB8" w:rsidR="001A2578" w:rsidRDefault="001A2578" w:rsidP="001A2578">
            <w:pPr>
              <w:spacing w:before="120"/>
              <w:ind w:right="-25"/>
            </w:pPr>
            <w:r w:rsidRPr="004A4C6A">
              <w:t xml:space="preserve">The contribution is for an amount of </w:t>
            </w:r>
            <w:r w:rsidRPr="003B5313">
              <w:rPr>
                <w:b/>
                <w:bCs/>
              </w:rPr>
              <w:t xml:space="preserve">EUR </w:t>
            </w:r>
            <w:r w:rsidR="0020340E" w:rsidRPr="003B5313">
              <w:rPr>
                <w:b/>
                <w:bCs/>
              </w:rPr>
              <w:t>28</w:t>
            </w:r>
            <w:r w:rsidR="00F7568F" w:rsidRPr="003B5313">
              <w:rPr>
                <w:b/>
                <w:bCs/>
              </w:rPr>
              <w:t xml:space="preserve"> 500 000</w:t>
            </w:r>
            <w:r w:rsidRPr="005C4F28">
              <w:t xml:space="preserve"> </w:t>
            </w:r>
            <w:r w:rsidRPr="004A4C6A">
              <w:t>from the general budget of the European Union for</w:t>
            </w:r>
            <w:r w:rsidRPr="005C4F28">
              <w:t xml:space="preserve"> </w:t>
            </w:r>
            <w:r w:rsidR="00CF6AC2">
              <w:t xml:space="preserve">the financial </w:t>
            </w:r>
            <w:r w:rsidR="00CF6AC2" w:rsidRPr="00256DE4">
              <w:rPr>
                <w:b/>
                <w:bCs/>
              </w:rPr>
              <w:t xml:space="preserve">year </w:t>
            </w:r>
            <w:r w:rsidR="00F7568F" w:rsidRPr="00256DE4">
              <w:rPr>
                <w:b/>
                <w:bCs/>
              </w:rPr>
              <w:t>2025</w:t>
            </w:r>
            <w:r w:rsidRPr="005C4F28">
              <w:t xml:space="preserve"> </w:t>
            </w:r>
            <w:r w:rsidRPr="004A4C6A">
              <w:t>and</w:t>
            </w:r>
            <w:r w:rsidRPr="004A4C6A">
              <w:rPr>
                <w:b/>
                <w:i/>
              </w:rPr>
              <w:t xml:space="preserve"> </w:t>
            </w:r>
            <w:r w:rsidRPr="004A4C6A">
              <w:t xml:space="preserve">for an amount of </w:t>
            </w:r>
            <w:r w:rsidRPr="003B5313">
              <w:rPr>
                <w:b/>
                <w:bCs/>
              </w:rPr>
              <w:t>EUR</w:t>
            </w:r>
            <w:r w:rsidR="00F7568F" w:rsidRPr="003B5313">
              <w:rPr>
                <w:b/>
                <w:bCs/>
              </w:rPr>
              <w:t xml:space="preserve"> </w:t>
            </w:r>
            <w:r w:rsidR="0020340E" w:rsidRPr="003B5313">
              <w:rPr>
                <w:b/>
                <w:bCs/>
              </w:rPr>
              <w:t>16</w:t>
            </w:r>
            <w:r w:rsidR="00F7568F" w:rsidRPr="003B5313">
              <w:rPr>
                <w:b/>
                <w:bCs/>
              </w:rPr>
              <w:t xml:space="preserve"> 000 000</w:t>
            </w:r>
            <w:r w:rsidRPr="005C4F28">
              <w:t xml:space="preserve"> </w:t>
            </w:r>
            <w:r w:rsidRPr="004A4C6A">
              <w:t>from the general budget of the European Union for</w:t>
            </w:r>
            <w:r w:rsidRPr="005C4F28">
              <w:t xml:space="preserve"> </w:t>
            </w:r>
            <w:r w:rsidR="00CF6AC2">
              <w:t xml:space="preserve">the financial </w:t>
            </w:r>
            <w:r w:rsidR="00CF6AC2" w:rsidRPr="00256DE4">
              <w:rPr>
                <w:b/>
                <w:bCs/>
              </w:rPr>
              <w:t xml:space="preserve">year </w:t>
            </w:r>
            <w:r w:rsidR="00F7568F" w:rsidRPr="00256DE4">
              <w:rPr>
                <w:b/>
                <w:bCs/>
              </w:rPr>
              <w:t>2026</w:t>
            </w:r>
            <w:r w:rsidRPr="004A4C6A">
              <w:t>, subject to the availability of appropriations for the respective financial years following the adoption of the relevant annual budget, or as provided for in the system of provisional twelfths</w:t>
            </w:r>
            <w:r w:rsidR="00F7568F" w:rsidRPr="004A4C6A">
              <w:t>.</w:t>
            </w:r>
          </w:p>
          <w:p w14:paraId="1D90D1A2" w14:textId="3368D8F3" w:rsidR="00F5659C" w:rsidRPr="00C85643" w:rsidRDefault="00F5659C" w:rsidP="004A4C6A">
            <w:pPr>
              <w:ind w:right="-25"/>
              <w:rPr>
                <w:highlight w:val="lightGray"/>
              </w:rPr>
            </w:pPr>
          </w:p>
        </w:tc>
      </w:tr>
      <w:tr w:rsidR="001A2578" w:rsidRPr="008704EA" w14:paraId="538E4DC3" w14:textId="77777777" w:rsidTr="2E41943B">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043DD7D9" w14:textId="77777777" w:rsidR="001A2578" w:rsidRPr="003C0CD7" w:rsidRDefault="001A2578" w:rsidP="001A2578">
            <w:pPr>
              <w:jc w:val="center"/>
              <w:rPr>
                <w:b/>
                <w:szCs w:val="24"/>
              </w:rPr>
            </w:pPr>
            <w:r w:rsidRPr="003C0CD7">
              <w:rPr>
                <w:b/>
                <w:szCs w:val="24"/>
              </w:rPr>
              <w:t>MANAGEMENT AND IMPLEMENTATION</w:t>
            </w:r>
          </w:p>
        </w:tc>
      </w:tr>
      <w:tr w:rsidR="001A2578" w:rsidRPr="008704EA" w14:paraId="4291B723" w14:textId="77777777" w:rsidTr="2E41943B">
        <w:tc>
          <w:tcPr>
            <w:tcW w:w="2127" w:type="dxa"/>
            <w:tcBorders>
              <w:top w:val="single" w:sz="4" w:space="0" w:color="auto"/>
              <w:left w:val="single" w:sz="4" w:space="0" w:color="auto"/>
              <w:bottom w:val="single" w:sz="4" w:space="0" w:color="auto"/>
              <w:right w:val="single" w:sz="4" w:space="0" w:color="auto"/>
            </w:tcBorders>
            <w:shd w:val="clear" w:color="auto" w:fill="auto"/>
          </w:tcPr>
          <w:p w14:paraId="154A18F2" w14:textId="3E305DF4" w:rsidR="001A2578" w:rsidRPr="003C0CD7" w:rsidRDefault="001A2578" w:rsidP="001A2578">
            <w:pPr>
              <w:pStyle w:val="Text1"/>
              <w:spacing w:before="60" w:after="60"/>
              <w:ind w:left="0"/>
              <w:jc w:val="left"/>
              <w:rPr>
                <w:color w:val="0D0D0D" w:themeColor="text1" w:themeTint="F2"/>
              </w:rPr>
            </w:pPr>
            <w:r w:rsidRPr="003C0CD7">
              <w:rPr>
                <w:b/>
                <w:color w:val="0D0D0D" w:themeColor="text1" w:themeTint="F2"/>
              </w:rPr>
              <w:t>Implementation modalities (management mode</w:t>
            </w:r>
            <w:r w:rsidR="00091845">
              <w:rPr>
                <w:b/>
                <w:color w:val="0D0D0D" w:themeColor="text1" w:themeTint="F2"/>
              </w:rPr>
              <w:t xml:space="preserve"> and delivery methods</w:t>
            </w:r>
            <w:r w:rsidRPr="003C0CD7">
              <w:rPr>
                <w:b/>
                <w:color w:val="0D0D0D" w:themeColor="text1" w:themeTint="F2"/>
              </w:rPr>
              <w:t>)</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597408FC" w14:textId="25D4C00D" w:rsidR="001A2578" w:rsidRPr="000E402C" w:rsidRDefault="001A2578" w:rsidP="001A2578">
            <w:pPr>
              <w:pStyle w:val="Text1"/>
              <w:spacing w:before="60" w:after="60"/>
              <w:ind w:left="0" w:right="-25"/>
              <w:jc w:val="left"/>
            </w:pPr>
            <w:r w:rsidRPr="004A4C6A">
              <w:rPr>
                <w:b/>
              </w:rPr>
              <w:t>Direct management</w:t>
            </w:r>
            <w:r w:rsidRPr="004A4C6A">
              <w:t xml:space="preserve"> through</w:t>
            </w:r>
            <w:r w:rsidR="000844C1">
              <w:t xml:space="preserve"> g</w:t>
            </w:r>
            <w:r w:rsidRPr="004A4C6A">
              <w:t>rants</w:t>
            </w:r>
            <w:r w:rsidR="000844C1">
              <w:t>.</w:t>
            </w:r>
          </w:p>
          <w:p w14:paraId="5389A0A9" w14:textId="6966E322" w:rsidR="001A2578" w:rsidRPr="003C0CD7" w:rsidRDefault="001A2578" w:rsidP="001A2578">
            <w:pPr>
              <w:pStyle w:val="Text1"/>
              <w:spacing w:before="60" w:after="60"/>
              <w:ind w:left="0" w:right="-25"/>
            </w:pPr>
            <w:r w:rsidRPr="004A4C6A">
              <w:rPr>
                <w:b/>
              </w:rPr>
              <w:t>Indirect management</w:t>
            </w:r>
            <w:r w:rsidR="00E24E8A" w:rsidRPr="000E402C">
              <w:t xml:space="preserve"> </w:t>
            </w:r>
            <w:r w:rsidR="00DB5BC8" w:rsidRPr="000E402C">
              <w:t xml:space="preserve">in accordance with the criteria set out in section </w:t>
            </w:r>
            <w:proofErr w:type="gramStart"/>
            <w:r w:rsidR="00DB5BC8" w:rsidRPr="000E402C">
              <w:t>4.</w:t>
            </w:r>
            <w:r w:rsidR="00F94548">
              <w:t>3</w:t>
            </w:r>
            <w:r w:rsidR="00DB5BC8" w:rsidRPr="000E402C">
              <w:t>.</w:t>
            </w:r>
            <w:r w:rsidR="00F94548">
              <w:t>2</w:t>
            </w:r>
            <w:proofErr w:type="gramEnd"/>
          </w:p>
          <w:p w14:paraId="6F524799" w14:textId="6F396FE9" w:rsidR="00F5659C" w:rsidRPr="00C85643" w:rsidRDefault="001A2578" w:rsidP="006F76E9">
            <w:pPr>
              <w:pStyle w:val="Text1"/>
              <w:spacing w:before="60" w:after="60"/>
              <w:ind w:left="0" w:right="-25"/>
              <w:jc w:val="left"/>
            </w:pPr>
            <w:r w:rsidRPr="003C0CD7">
              <w:rPr>
                <w:highlight w:val="yellow"/>
              </w:rPr>
              <w:t xml:space="preserve"> </w:t>
            </w:r>
          </w:p>
        </w:tc>
      </w:tr>
      <w:tr w:rsidR="001A2578" w:rsidRPr="008704EA" w14:paraId="1BC2E909" w14:textId="77777777" w:rsidTr="2E41943B">
        <w:trPr>
          <w:trHeight w:val="558"/>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002D4F2E" w14:textId="09874292" w:rsidR="001A2578" w:rsidRPr="003C0CD7" w:rsidRDefault="001A2578" w:rsidP="007F5D34">
            <w:pPr>
              <w:pStyle w:val="Text1"/>
              <w:spacing w:before="60" w:after="60"/>
              <w:ind w:left="0" w:right="-108"/>
              <w:jc w:val="left"/>
              <w:rPr>
                <w:b/>
                <w:bCs/>
                <w:color w:val="0D0D0D" w:themeColor="text1" w:themeTint="F2"/>
                <w:highlight w:val="lightGray"/>
              </w:rPr>
            </w:pPr>
            <w:r w:rsidRPr="004A4C6A">
              <w:rPr>
                <w:b/>
                <w:bCs/>
                <w:color w:val="0D0D0D" w:themeColor="text1" w:themeTint="F2"/>
              </w:rPr>
              <w:t xml:space="preserve">Final date for concluding contribution / delegation </w:t>
            </w:r>
            <w:proofErr w:type="gramStart"/>
            <w:r w:rsidRPr="004A4C6A">
              <w:rPr>
                <w:b/>
                <w:bCs/>
                <w:color w:val="0D0D0D" w:themeColor="text1" w:themeTint="F2"/>
              </w:rPr>
              <w:t>agreements,  procurement</w:t>
            </w:r>
            <w:proofErr w:type="gramEnd"/>
            <w:r w:rsidRPr="004A4C6A">
              <w:rPr>
                <w:b/>
                <w:bCs/>
                <w:color w:val="0D0D0D" w:themeColor="text1" w:themeTint="F2"/>
              </w:rPr>
              <w:t xml:space="preserve"> and grant contracts</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249B7F8F" w14:textId="5025D9F7" w:rsidR="006C1CE7" w:rsidRPr="004A4C6A" w:rsidRDefault="006372A7" w:rsidP="001A2578">
            <w:pPr>
              <w:pStyle w:val="Text1"/>
              <w:spacing w:before="60" w:after="60"/>
              <w:ind w:left="0"/>
              <w:jc w:val="left"/>
              <w:rPr>
                <w:lang w:eastAsia="de-DE"/>
              </w:rPr>
            </w:pPr>
            <w:r>
              <w:rPr>
                <w:lang w:eastAsia="de-DE"/>
              </w:rPr>
              <w:t xml:space="preserve">Allocation 2025 - </w:t>
            </w:r>
            <w:r w:rsidR="001A2578" w:rsidRPr="004A4C6A">
              <w:rPr>
                <w:lang w:eastAsia="de-DE"/>
              </w:rPr>
              <w:t>At the latest by 31 December</w:t>
            </w:r>
            <w:r w:rsidR="006A651F" w:rsidRPr="004A4C6A">
              <w:rPr>
                <w:lang w:eastAsia="de-DE"/>
              </w:rPr>
              <w:t xml:space="preserve"> 2026</w:t>
            </w:r>
            <w:r w:rsidR="000710C4" w:rsidRPr="004A4C6A">
              <w:rPr>
                <w:lang w:eastAsia="de-DE"/>
              </w:rPr>
              <w:t xml:space="preserve"> </w:t>
            </w:r>
          </w:p>
          <w:p w14:paraId="33320BC1" w14:textId="5727AEBF" w:rsidR="006C1CE7" w:rsidRPr="004A4C6A" w:rsidRDefault="006372A7" w:rsidP="006C1CE7">
            <w:pPr>
              <w:pStyle w:val="Text1"/>
              <w:spacing w:before="60" w:after="60"/>
              <w:ind w:left="0"/>
              <w:jc w:val="left"/>
              <w:rPr>
                <w:lang w:eastAsia="de-DE"/>
              </w:rPr>
            </w:pPr>
            <w:r>
              <w:rPr>
                <w:lang w:eastAsia="de-DE"/>
              </w:rPr>
              <w:t xml:space="preserve">Allocation 2026 - </w:t>
            </w:r>
            <w:r w:rsidR="006C1CE7" w:rsidRPr="004A4C6A">
              <w:rPr>
                <w:lang w:eastAsia="de-DE"/>
              </w:rPr>
              <w:t xml:space="preserve">At the latest by 31 December 2027 </w:t>
            </w:r>
          </w:p>
          <w:p w14:paraId="660CFFEC" w14:textId="77777777" w:rsidR="001A2578" w:rsidRPr="003C0CD7" w:rsidRDefault="001A2578" w:rsidP="006A651F">
            <w:pPr>
              <w:pStyle w:val="Text1"/>
              <w:spacing w:before="60" w:after="60"/>
              <w:ind w:left="0"/>
              <w:jc w:val="left"/>
              <w:rPr>
                <w:highlight w:val="lightGray"/>
                <w:lang w:eastAsia="de-DE"/>
              </w:rPr>
            </w:pPr>
          </w:p>
        </w:tc>
      </w:tr>
      <w:tr w:rsidR="001A2578" w:rsidRPr="008704EA" w14:paraId="5A7791B3" w14:textId="77777777" w:rsidTr="2E41943B">
        <w:trPr>
          <w:trHeight w:val="558"/>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DB0D6A0" w14:textId="13E2826A" w:rsidR="001A2578" w:rsidRPr="003C0CD7" w:rsidRDefault="001A2578" w:rsidP="001A2578">
            <w:pPr>
              <w:pStyle w:val="Text1"/>
              <w:spacing w:before="60" w:after="60"/>
              <w:ind w:left="0" w:right="-108"/>
              <w:jc w:val="left"/>
              <w:rPr>
                <w:b/>
                <w:bCs/>
                <w:color w:val="0D0D0D" w:themeColor="text1" w:themeTint="F2"/>
                <w:highlight w:val="lightGray"/>
              </w:rPr>
            </w:pPr>
            <w:r w:rsidRPr="00940745">
              <w:rPr>
                <w:b/>
                <w:bCs/>
                <w:color w:val="0D0D0D" w:themeColor="text1" w:themeTint="F2"/>
              </w:rPr>
              <w:t xml:space="preserve">Indicative </w:t>
            </w:r>
            <w:r w:rsidRPr="004A4C6A">
              <w:rPr>
                <w:b/>
                <w:bCs/>
                <w:color w:val="0D0D0D" w:themeColor="text1" w:themeTint="F2"/>
              </w:rPr>
              <w:t xml:space="preserve">operational implementation </w:t>
            </w:r>
            <w:r w:rsidRPr="003C0CD7">
              <w:rPr>
                <w:b/>
                <w:bCs/>
                <w:color w:val="0D0D0D" w:themeColor="text1" w:themeTint="F2"/>
              </w:rPr>
              <w:t>period</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65B5B9EB" w14:textId="5AD9C87B" w:rsidR="006372A7" w:rsidRPr="001564A8" w:rsidRDefault="006372A7" w:rsidP="006372A7">
            <w:pPr>
              <w:spacing w:before="120" w:after="120"/>
              <w:ind w:right="-25"/>
              <w:jc w:val="left"/>
              <w:rPr>
                <w:rFonts w:eastAsia="Times New Roman" w:cs="Times New Roman"/>
                <w:color w:val="000000"/>
                <w:szCs w:val="24"/>
              </w:rPr>
            </w:pPr>
            <w:r w:rsidRPr="001564A8">
              <w:rPr>
                <w:rFonts w:eastAsia="Times New Roman" w:cs="Times New Roman"/>
                <w:color w:val="000000"/>
                <w:szCs w:val="24"/>
              </w:rPr>
              <w:t>Allocation 202</w:t>
            </w:r>
            <w:r>
              <w:rPr>
                <w:rFonts w:eastAsia="Times New Roman" w:cs="Times New Roman"/>
                <w:color w:val="000000"/>
                <w:szCs w:val="24"/>
              </w:rPr>
              <w:t>5</w:t>
            </w:r>
            <w:r w:rsidRPr="001564A8">
              <w:rPr>
                <w:rFonts w:eastAsia="Times New Roman" w:cs="Times New Roman"/>
                <w:color w:val="000000"/>
                <w:szCs w:val="24"/>
              </w:rPr>
              <w:t xml:space="preserve">: 72 months following the adoption of the Financing Decision </w:t>
            </w:r>
          </w:p>
          <w:p w14:paraId="24D9B68E" w14:textId="30F55BE9" w:rsidR="006372A7" w:rsidRPr="003C0CD7" w:rsidRDefault="006372A7" w:rsidP="001A2578">
            <w:pPr>
              <w:pStyle w:val="Text1"/>
              <w:spacing w:before="60" w:after="60"/>
              <w:ind w:left="0"/>
              <w:jc w:val="left"/>
              <w:rPr>
                <w:highlight w:val="lightGray"/>
                <w:lang w:eastAsia="de-DE"/>
              </w:rPr>
            </w:pPr>
            <w:r w:rsidRPr="001564A8">
              <w:rPr>
                <w:color w:val="000000"/>
              </w:rPr>
              <w:t>Allocation 202</w:t>
            </w:r>
            <w:r>
              <w:rPr>
                <w:color w:val="000000"/>
              </w:rPr>
              <w:t>6</w:t>
            </w:r>
            <w:r w:rsidRPr="001564A8">
              <w:rPr>
                <w:color w:val="000000"/>
              </w:rPr>
              <w:t xml:space="preserve">: 84 months following the adoption of the Financing Decision </w:t>
            </w:r>
          </w:p>
          <w:p w14:paraId="1F069464" w14:textId="77777777" w:rsidR="001A2578" w:rsidRPr="003C0CD7" w:rsidRDefault="001A2578" w:rsidP="006A651F">
            <w:pPr>
              <w:pStyle w:val="Text1"/>
              <w:spacing w:before="60" w:after="60"/>
              <w:ind w:left="0"/>
              <w:jc w:val="left"/>
              <w:rPr>
                <w:highlight w:val="lightGray"/>
                <w:lang w:eastAsia="de-DE"/>
              </w:rPr>
            </w:pPr>
          </w:p>
        </w:tc>
      </w:tr>
    </w:tbl>
    <w:p w14:paraId="3263BA63" w14:textId="7D3F1074" w:rsidR="0020000F" w:rsidRPr="003C0CD7" w:rsidRDefault="00FD7FCD" w:rsidP="003B5313">
      <w:pPr>
        <w:pStyle w:val="Heading1"/>
        <w:numPr>
          <w:ilvl w:val="1"/>
          <w:numId w:val="1"/>
        </w:numPr>
      </w:pPr>
      <w:bookmarkStart w:id="10" w:name="_Ref58422630"/>
      <w:bookmarkStart w:id="11" w:name="_Ref58422632"/>
      <w:bookmarkStart w:id="12" w:name="_Toc73090732"/>
      <w:r w:rsidRPr="003C0CD7">
        <w:lastRenderedPageBreak/>
        <w:t>Summary of the Action</w:t>
      </w:r>
      <w:bookmarkEnd w:id="10"/>
      <w:bookmarkEnd w:id="11"/>
      <w:bookmarkEnd w:id="12"/>
      <w:r w:rsidR="00532695" w:rsidRPr="003C0CD7">
        <w:t xml:space="preserve"> </w:t>
      </w:r>
    </w:p>
    <w:p w14:paraId="512561B7" w14:textId="4ABA83DE" w:rsidR="00F43836" w:rsidRDefault="0059220C" w:rsidP="004A4C6A">
      <w:pPr>
        <w:rPr>
          <w:rFonts w:cs="Times New Roman"/>
          <w:szCs w:val="24"/>
        </w:rPr>
      </w:pPr>
      <w:bookmarkStart w:id="13" w:name="_Hlk115185082"/>
      <w:bookmarkStart w:id="14" w:name="_Ref58421925"/>
      <w:r w:rsidRPr="004A4C6A">
        <w:rPr>
          <w:rFonts w:cs="Times New Roman"/>
          <w:szCs w:val="24"/>
        </w:rPr>
        <w:t xml:space="preserve">The </w:t>
      </w:r>
      <w:r w:rsidR="005E0945">
        <w:rPr>
          <w:rFonts w:cs="Times New Roman"/>
          <w:szCs w:val="24"/>
        </w:rPr>
        <w:t>a</w:t>
      </w:r>
      <w:r w:rsidRPr="004A4C6A">
        <w:rPr>
          <w:rFonts w:cs="Times New Roman"/>
          <w:szCs w:val="24"/>
        </w:rPr>
        <w:t>ction aims to</w:t>
      </w:r>
      <w:r w:rsidR="00F43836" w:rsidRPr="004A4C6A">
        <w:rPr>
          <w:rFonts w:cs="Times New Roman"/>
          <w:szCs w:val="24"/>
        </w:rPr>
        <w:t xml:space="preserve"> </w:t>
      </w:r>
      <w:r w:rsidRPr="004A4C6A">
        <w:rPr>
          <w:rFonts w:cs="Times New Roman"/>
          <w:szCs w:val="24"/>
        </w:rPr>
        <w:t xml:space="preserve">support the implementation of the </w:t>
      </w:r>
      <w:r w:rsidRPr="004A4C6A">
        <w:rPr>
          <w:rFonts w:cs="Times New Roman"/>
          <w:b/>
          <w:bCs/>
          <w:szCs w:val="24"/>
        </w:rPr>
        <w:t>Common Regional Market (CRM) Action Plan</w:t>
      </w:r>
      <w:r w:rsidR="00F43836" w:rsidRPr="004A4C6A">
        <w:rPr>
          <w:rFonts w:cs="Times New Roman"/>
          <w:b/>
          <w:bCs/>
          <w:szCs w:val="24"/>
        </w:rPr>
        <w:t xml:space="preserve"> 2</w:t>
      </w:r>
      <w:r w:rsidR="00F43836" w:rsidRPr="004A4C6A">
        <w:rPr>
          <w:rFonts w:cs="Times New Roman"/>
          <w:szCs w:val="24"/>
        </w:rPr>
        <w:t xml:space="preserve"> and support </w:t>
      </w:r>
      <w:r w:rsidR="00D72B08">
        <w:rPr>
          <w:rFonts w:cs="Times New Roman"/>
          <w:szCs w:val="24"/>
        </w:rPr>
        <w:t>the creation of a Common Regional Market</w:t>
      </w:r>
      <w:r w:rsidR="0013429F">
        <w:rPr>
          <w:rFonts w:cs="Times New Roman"/>
          <w:szCs w:val="24"/>
        </w:rPr>
        <w:t>,</w:t>
      </w:r>
      <w:r w:rsidR="00D72B08">
        <w:rPr>
          <w:rFonts w:cs="Times New Roman"/>
          <w:szCs w:val="24"/>
        </w:rPr>
        <w:t xml:space="preserve"> as </w:t>
      </w:r>
      <w:r w:rsidR="0013429F">
        <w:rPr>
          <w:rFonts w:cs="Times New Roman"/>
          <w:szCs w:val="24"/>
        </w:rPr>
        <w:t xml:space="preserve">per </w:t>
      </w:r>
      <w:r w:rsidR="00D72B08">
        <w:rPr>
          <w:rFonts w:cs="Times New Roman"/>
          <w:szCs w:val="24"/>
        </w:rPr>
        <w:t xml:space="preserve">pillar 2 </w:t>
      </w:r>
      <w:r w:rsidR="00F43836" w:rsidRPr="004A4C6A">
        <w:rPr>
          <w:rFonts w:cs="Times New Roman"/>
          <w:szCs w:val="24"/>
        </w:rPr>
        <w:t>of the Growth Plan for the Western Balkans</w:t>
      </w:r>
      <w:r w:rsidR="00D72B08">
        <w:rPr>
          <w:rFonts w:cs="Times New Roman"/>
          <w:szCs w:val="24"/>
        </w:rPr>
        <w:t xml:space="preserve"> and </w:t>
      </w:r>
      <w:r w:rsidR="0013429F">
        <w:rPr>
          <w:rFonts w:cs="Times New Roman"/>
          <w:szCs w:val="24"/>
        </w:rPr>
        <w:t xml:space="preserve">in </w:t>
      </w:r>
      <w:r w:rsidR="00D72B08">
        <w:rPr>
          <w:rFonts w:cs="Times New Roman"/>
          <w:szCs w:val="24"/>
        </w:rPr>
        <w:t xml:space="preserve">preparation to join the </w:t>
      </w:r>
      <w:r w:rsidR="00301FBE">
        <w:rPr>
          <w:rFonts w:cs="Times New Roman"/>
          <w:szCs w:val="24"/>
        </w:rPr>
        <w:t>EU s</w:t>
      </w:r>
      <w:r w:rsidR="00D72B08">
        <w:rPr>
          <w:rFonts w:cs="Times New Roman"/>
          <w:szCs w:val="24"/>
        </w:rPr>
        <w:t xml:space="preserve">ingle </w:t>
      </w:r>
      <w:r w:rsidR="00301FBE">
        <w:rPr>
          <w:rFonts w:cs="Times New Roman"/>
          <w:szCs w:val="24"/>
        </w:rPr>
        <w:t>m</w:t>
      </w:r>
      <w:r w:rsidR="00D72B08">
        <w:rPr>
          <w:rFonts w:cs="Times New Roman"/>
          <w:szCs w:val="24"/>
        </w:rPr>
        <w:t>arket</w:t>
      </w:r>
      <w:r w:rsidR="008345C1">
        <w:rPr>
          <w:rFonts w:cs="Times New Roman"/>
          <w:szCs w:val="24"/>
        </w:rPr>
        <w:t xml:space="preserve"> as </w:t>
      </w:r>
      <w:r w:rsidR="0013429F">
        <w:rPr>
          <w:rFonts w:cs="Times New Roman"/>
          <w:szCs w:val="24"/>
        </w:rPr>
        <w:t xml:space="preserve">per </w:t>
      </w:r>
      <w:r w:rsidR="008345C1">
        <w:rPr>
          <w:rFonts w:cs="Times New Roman"/>
          <w:szCs w:val="24"/>
        </w:rPr>
        <w:t>pillar 1. Th</w:t>
      </w:r>
      <w:r w:rsidR="00153891">
        <w:rPr>
          <w:rFonts w:cs="Times New Roman"/>
          <w:szCs w:val="24"/>
        </w:rPr>
        <w:t xml:space="preserve">is </w:t>
      </w:r>
      <w:r w:rsidR="00B531E9">
        <w:rPr>
          <w:rFonts w:cs="Times New Roman"/>
          <w:szCs w:val="24"/>
        </w:rPr>
        <w:t>action</w:t>
      </w:r>
      <w:r w:rsidR="0013429F">
        <w:rPr>
          <w:rFonts w:cs="Times New Roman"/>
          <w:szCs w:val="24"/>
        </w:rPr>
        <w:t xml:space="preserve"> </w:t>
      </w:r>
      <w:r w:rsidR="008345C1">
        <w:rPr>
          <w:rFonts w:cs="Times New Roman"/>
          <w:szCs w:val="24"/>
        </w:rPr>
        <w:t xml:space="preserve">aims </w:t>
      </w:r>
      <w:r w:rsidRPr="004A4C6A">
        <w:rPr>
          <w:rFonts w:cs="Times New Roman"/>
          <w:szCs w:val="24"/>
        </w:rPr>
        <w:t xml:space="preserve"> to (i) increase socioeconomic growth in the region thanks to increased trade and investment; (ii) foster the implementation of the EU </w:t>
      </w:r>
      <w:r w:rsidRPr="004A4C6A">
        <w:rPr>
          <w:rFonts w:cs="Times New Roman"/>
          <w:i/>
          <w:iCs/>
          <w:szCs w:val="24"/>
        </w:rPr>
        <w:t xml:space="preserve">acquis </w:t>
      </w:r>
      <w:r w:rsidRPr="004A4C6A">
        <w:rPr>
          <w:rFonts w:cs="Times New Roman"/>
          <w:szCs w:val="24"/>
        </w:rPr>
        <w:t>pertaining to the EU Single Market in order to</w:t>
      </w:r>
      <w:r w:rsidR="00F43836" w:rsidRPr="004A4C6A">
        <w:rPr>
          <w:rFonts w:cs="Times New Roman"/>
          <w:szCs w:val="24"/>
        </w:rPr>
        <w:t xml:space="preserve"> give access to certain areas of the Single Market ahead of accession and</w:t>
      </w:r>
      <w:r w:rsidR="0036441C">
        <w:rPr>
          <w:rFonts w:cs="Times New Roman"/>
          <w:szCs w:val="24"/>
        </w:rPr>
        <w:t xml:space="preserve">, in parallel, to </w:t>
      </w:r>
      <w:r w:rsidRPr="004A4C6A">
        <w:rPr>
          <w:rFonts w:cs="Times New Roman"/>
          <w:szCs w:val="24"/>
        </w:rPr>
        <w:t>accelerate accession to the EU; and (iii) enhance good neighbourly relations</w:t>
      </w:r>
      <w:r w:rsidR="00F43836" w:rsidRPr="004A4C6A">
        <w:rPr>
          <w:rFonts w:cs="Times New Roman"/>
          <w:szCs w:val="24"/>
        </w:rPr>
        <w:t xml:space="preserve"> (iv) enhance digital and green transition (v) increasing support services for private sector development – with a focus on SMEs / MSMEs – and facilitat</w:t>
      </w:r>
      <w:r w:rsidR="00631BFE">
        <w:rPr>
          <w:rFonts w:cs="Times New Roman"/>
          <w:szCs w:val="24"/>
        </w:rPr>
        <w:t xml:space="preserve">e </w:t>
      </w:r>
      <w:r w:rsidR="00F43836" w:rsidRPr="004A4C6A">
        <w:rPr>
          <w:rFonts w:cs="Times New Roman"/>
          <w:szCs w:val="24"/>
        </w:rPr>
        <w:t>deeper cross-border business cooperation while promoting the benefits and opportunities of establishing a common regional market</w:t>
      </w:r>
      <w:r w:rsidR="00841E3A">
        <w:rPr>
          <w:rFonts w:cs="Times New Roman"/>
          <w:szCs w:val="24"/>
        </w:rPr>
        <w:t>.</w:t>
      </w:r>
    </w:p>
    <w:p w14:paraId="332BDC6A" w14:textId="77777777" w:rsidR="00656073" w:rsidRDefault="00656073" w:rsidP="004A4C6A">
      <w:pPr>
        <w:autoSpaceDE w:val="0"/>
        <w:autoSpaceDN w:val="0"/>
        <w:adjustRightInd w:val="0"/>
        <w:rPr>
          <w:rFonts w:cs="Times New Roman"/>
          <w:szCs w:val="24"/>
        </w:rPr>
      </w:pPr>
    </w:p>
    <w:p w14:paraId="0F94B87E" w14:textId="23676E65" w:rsidR="00656073" w:rsidRDefault="00656073" w:rsidP="004A4C6A">
      <w:pPr>
        <w:autoSpaceDE w:val="0"/>
        <w:autoSpaceDN w:val="0"/>
        <w:adjustRightInd w:val="0"/>
        <w:rPr>
          <w:rFonts w:cs="Times New Roman"/>
          <w:szCs w:val="24"/>
        </w:rPr>
      </w:pPr>
      <w:r w:rsidRPr="00495FCC">
        <w:rPr>
          <w:rFonts w:cs="Times New Roman"/>
          <w:szCs w:val="24"/>
        </w:rPr>
        <w:t>The CRM</w:t>
      </w:r>
      <w:r w:rsidR="00C27ABC">
        <w:rPr>
          <w:rFonts w:cs="Times New Roman"/>
          <w:szCs w:val="24"/>
        </w:rPr>
        <w:t xml:space="preserve"> </w:t>
      </w:r>
      <w:r w:rsidRPr="00495FCC">
        <w:rPr>
          <w:rFonts w:cs="Times New Roman"/>
          <w:szCs w:val="24"/>
        </w:rPr>
        <w:t>is structured around the four freedoms (free movement of goods, services, capital and people)</w:t>
      </w:r>
      <w:r w:rsidR="005A7DAD">
        <w:rPr>
          <w:rFonts w:cs="Times New Roman"/>
          <w:szCs w:val="24"/>
        </w:rPr>
        <w:t>, with the idea to create a</w:t>
      </w:r>
      <w:r w:rsidR="00B1156B" w:rsidRPr="00B1156B">
        <w:rPr>
          <w:rFonts w:cs="Times New Roman"/>
          <w:szCs w:val="24"/>
        </w:rPr>
        <w:t xml:space="preserve"> (i) regional trade area, (ii) regional investment area, (iii) regional digital area, and (iv) regional industrial and innovation area, </w:t>
      </w:r>
      <w:r w:rsidRPr="00495FCC">
        <w:rPr>
          <w:rFonts w:cs="Times New Roman"/>
          <w:szCs w:val="24"/>
        </w:rPr>
        <w:t>while also covering aspects of digital transformation and connectivity, investment, human capital development, competitiveness, business environment, in order to address the economic fragmentation in the Western Balkans</w:t>
      </w:r>
      <w:r w:rsidR="00240370">
        <w:rPr>
          <w:rFonts w:cs="Times New Roman"/>
          <w:szCs w:val="24"/>
        </w:rPr>
        <w:t>,</w:t>
      </w:r>
      <w:r w:rsidRPr="00495FCC">
        <w:rPr>
          <w:rFonts w:cs="Times New Roman"/>
          <w:szCs w:val="24"/>
        </w:rPr>
        <w:t xml:space="preserve"> with a view to accelerating economic convergence with the EU</w:t>
      </w:r>
      <w:r w:rsidR="00C51734">
        <w:rPr>
          <w:rFonts w:cs="Times New Roman"/>
          <w:szCs w:val="24"/>
        </w:rPr>
        <w:t xml:space="preserve"> </w:t>
      </w:r>
      <w:r w:rsidR="00C13597">
        <w:rPr>
          <w:rFonts w:cs="Times New Roman"/>
          <w:szCs w:val="24"/>
        </w:rPr>
        <w:t xml:space="preserve">and align with the EU </w:t>
      </w:r>
      <w:r w:rsidR="00C13597" w:rsidRPr="004A4C6A">
        <w:rPr>
          <w:rFonts w:cs="Times New Roman"/>
          <w:i/>
          <w:iCs/>
          <w:szCs w:val="24"/>
        </w:rPr>
        <w:t>acquis</w:t>
      </w:r>
      <w:r w:rsidRPr="00495FCC">
        <w:rPr>
          <w:rFonts w:cs="Times New Roman"/>
          <w:szCs w:val="24"/>
        </w:rPr>
        <w:t xml:space="preserve">. The </w:t>
      </w:r>
      <w:r w:rsidR="00CD25A1">
        <w:rPr>
          <w:rFonts w:cs="Times New Roman"/>
          <w:szCs w:val="24"/>
        </w:rPr>
        <w:t>a</w:t>
      </w:r>
      <w:r w:rsidRPr="00495FCC">
        <w:rPr>
          <w:rFonts w:cs="Times New Roman"/>
          <w:szCs w:val="24"/>
        </w:rPr>
        <w:t xml:space="preserve">ction will also include support to a subset of regional aspects </w:t>
      </w:r>
      <w:r w:rsidR="00B361E4">
        <w:rPr>
          <w:rFonts w:cs="Times New Roman"/>
          <w:szCs w:val="24"/>
        </w:rPr>
        <w:t>under</w:t>
      </w:r>
      <w:r w:rsidR="00DC68C6">
        <w:rPr>
          <w:rFonts w:cs="Times New Roman"/>
          <w:szCs w:val="24"/>
        </w:rPr>
        <w:t xml:space="preserve"> </w:t>
      </w:r>
      <w:r w:rsidRPr="00495FCC">
        <w:rPr>
          <w:rFonts w:cs="Times New Roman"/>
          <w:szCs w:val="24"/>
        </w:rPr>
        <w:t>the Green Agenda for the Western Balkans (GAWB)</w:t>
      </w:r>
      <w:r w:rsidR="00DC68C6">
        <w:rPr>
          <w:rFonts w:cs="Times New Roman"/>
          <w:szCs w:val="24"/>
        </w:rPr>
        <w:t>.</w:t>
      </w:r>
      <w:r w:rsidRPr="00495FCC">
        <w:rPr>
          <w:rFonts w:cs="Times New Roman"/>
          <w:szCs w:val="24"/>
        </w:rPr>
        <w:t xml:space="preserve"> </w:t>
      </w:r>
    </w:p>
    <w:p w14:paraId="24BD8130" w14:textId="77777777" w:rsidR="005A5485" w:rsidRDefault="005A5485" w:rsidP="004A4C6A">
      <w:pPr>
        <w:autoSpaceDE w:val="0"/>
        <w:autoSpaceDN w:val="0"/>
        <w:adjustRightInd w:val="0"/>
        <w:rPr>
          <w:rFonts w:cs="Times New Roman"/>
          <w:szCs w:val="24"/>
        </w:rPr>
      </w:pPr>
    </w:p>
    <w:p w14:paraId="1C24F17A" w14:textId="7061BFC0" w:rsidR="00E01283" w:rsidRDefault="005A5485" w:rsidP="006E5A53">
      <w:pPr>
        <w:autoSpaceDE w:val="0"/>
        <w:autoSpaceDN w:val="0"/>
        <w:adjustRightInd w:val="0"/>
        <w:rPr>
          <w:rFonts w:cs="Times New Roman"/>
          <w:szCs w:val="24"/>
        </w:rPr>
      </w:pPr>
      <w:r>
        <w:rPr>
          <w:rFonts w:cs="Times New Roman"/>
          <w:szCs w:val="24"/>
        </w:rPr>
        <w:t xml:space="preserve">The </w:t>
      </w:r>
      <w:r w:rsidR="005E0945">
        <w:rPr>
          <w:rFonts w:cs="Times New Roman"/>
          <w:szCs w:val="24"/>
        </w:rPr>
        <w:t>a</w:t>
      </w:r>
      <w:r w:rsidR="00A43D0E">
        <w:rPr>
          <w:rFonts w:cs="Times New Roman"/>
          <w:szCs w:val="24"/>
        </w:rPr>
        <w:t>ction</w:t>
      </w:r>
      <w:r>
        <w:rPr>
          <w:rFonts w:cs="Times New Roman"/>
          <w:szCs w:val="24"/>
        </w:rPr>
        <w:t xml:space="preserve"> will build</w:t>
      </w:r>
      <w:r w:rsidRPr="00495FCC">
        <w:rPr>
          <w:rFonts w:cs="Times New Roman"/>
          <w:szCs w:val="24"/>
        </w:rPr>
        <w:t xml:space="preserve"> on the work done and lessons learned </w:t>
      </w:r>
      <w:r>
        <w:rPr>
          <w:rFonts w:cs="Times New Roman"/>
          <w:szCs w:val="24"/>
        </w:rPr>
        <w:t xml:space="preserve">firstly </w:t>
      </w:r>
      <w:r w:rsidRPr="00495FCC">
        <w:rPr>
          <w:rFonts w:cs="Times New Roman"/>
          <w:szCs w:val="24"/>
        </w:rPr>
        <w:t xml:space="preserve">through the Multi-annual Action Plan for a Regional Economic Area (MAP REA) and </w:t>
      </w:r>
      <w:r w:rsidR="007B0F7B">
        <w:rPr>
          <w:rFonts w:cs="Times New Roman"/>
          <w:szCs w:val="24"/>
        </w:rPr>
        <w:t>subsequently through</w:t>
      </w:r>
      <w:r>
        <w:rPr>
          <w:rFonts w:cs="Times New Roman"/>
          <w:szCs w:val="24"/>
        </w:rPr>
        <w:t xml:space="preserve"> </w:t>
      </w:r>
      <w:r w:rsidRPr="00495FCC">
        <w:rPr>
          <w:rFonts w:cs="Times New Roman"/>
          <w:szCs w:val="24"/>
        </w:rPr>
        <w:t xml:space="preserve">the </w:t>
      </w:r>
      <w:r w:rsidR="001C2443">
        <w:rPr>
          <w:rFonts w:cs="Times New Roman"/>
          <w:szCs w:val="24"/>
        </w:rPr>
        <w:t>CRM</w:t>
      </w:r>
      <w:r w:rsidRPr="00495FCC">
        <w:rPr>
          <w:rFonts w:cs="Times New Roman"/>
          <w:szCs w:val="24"/>
        </w:rPr>
        <w:t xml:space="preserve"> Action Plan 2021-2024.</w:t>
      </w:r>
      <w:r w:rsidR="00B767A4">
        <w:rPr>
          <w:rFonts w:cs="Times New Roman"/>
          <w:szCs w:val="24"/>
        </w:rPr>
        <w:t xml:space="preserve"> </w:t>
      </w:r>
      <w:r w:rsidR="003B019D">
        <w:rPr>
          <w:rFonts w:cs="Times New Roman"/>
          <w:szCs w:val="24"/>
        </w:rPr>
        <w:t>More specifically, t</w:t>
      </w:r>
      <w:r w:rsidR="00E01283">
        <w:rPr>
          <w:rFonts w:cs="Times New Roman"/>
          <w:szCs w:val="24"/>
        </w:rPr>
        <w:t>he</w:t>
      </w:r>
      <w:r w:rsidR="0046461A">
        <w:rPr>
          <w:rFonts w:cs="Times New Roman"/>
          <w:szCs w:val="24"/>
        </w:rPr>
        <w:t xml:space="preserve"> action will focus on the</w:t>
      </w:r>
      <w:r w:rsidR="00E01283">
        <w:rPr>
          <w:rFonts w:cs="Times New Roman"/>
          <w:szCs w:val="24"/>
        </w:rPr>
        <w:t xml:space="preserve"> six building blocks </w:t>
      </w:r>
      <w:r w:rsidR="0046461A">
        <w:rPr>
          <w:rFonts w:cs="Times New Roman"/>
          <w:szCs w:val="24"/>
        </w:rPr>
        <w:t xml:space="preserve">of the </w:t>
      </w:r>
      <w:r w:rsidR="00B831B5">
        <w:rPr>
          <w:rFonts w:cs="Times New Roman"/>
          <w:szCs w:val="24"/>
        </w:rPr>
        <w:t xml:space="preserve">new </w:t>
      </w:r>
      <w:r w:rsidR="001C2443">
        <w:rPr>
          <w:rFonts w:cs="Times New Roman"/>
          <w:szCs w:val="24"/>
        </w:rPr>
        <w:t>CRM</w:t>
      </w:r>
      <w:r w:rsidR="0046461A">
        <w:rPr>
          <w:rFonts w:cs="Times New Roman"/>
          <w:szCs w:val="24"/>
        </w:rPr>
        <w:t xml:space="preserve"> Action </w:t>
      </w:r>
      <w:r w:rsidR="00357B1D">
        <w:rPr>
          <w:rFonts w:cs="Times New Roman"/>
          <w:szCs w:val="24"/>
        </w:rPr>
        <w:t>Plan 2:</w:t>
      </w:r>
    </w:p>
    <w:p w14:paraId="320B0972" w14:textId="77777777" w:rsidR="00B767A4" w:rsidRDefault="00B767A4" w:rsidP="004A4C6A">
      <w:pPr>
        <w:autoSpaceDE w:val="0"/>
        <w:autoSpaceDN w:val="0"/>
        <w:adjustRightInd w:val="0"/>
        <w:rPr>
          <w:rFonts w:cs="Times New Roman"/>
          <w:szCs w:val="24"/>
        </w:rPr>
      </w:pPr>
    </w:p>
    <w:p w14:paraId="51866B0C" w14:textId="694192B3" w:rsidR="00357B1D" w:rsidRDefault="00357B1D" w:rsidP="004A4C6A">
      <w:pPr>
        <w:pStyle w:val="ListParagraph"/>
        <w:numPr>
          <w:ilvl w:val="0"/>
          <w:numId w:val="118"/>
        </w:numPr>
        <w:autoSpaceDE w:val="0"/>
        <w:autoSpaceDN w:val="0"/>
        <w:adjustRightInd w:val="0"/>
        <w:rPr>
          <w:rFonts w:cs="Times New Roman"/>
          <w:szCs w:val="24"/>
        </w:rPr>
      </w:pPr>
      <w:r>
        <w:rPr>
          <w:rFonts w:cs="Times New Roman"/>
          <w:szCs w:val="24"/>
        </w:rPr>
        <w:t>Free movement of goods</w:t>
      </w:r>
    </w:p>
    <w:p w14:paraId="6B388E67" w14:textId="60A692F0" w:rsidR="00357B1D" w:rsidRDefault="00357B1D" w:rsidP="004A4C6A">
      <w:pPr>
        <w:pStyle w:val="ListParagraph"/>
        <w:numPr>
          <w:ilvl w:val="0"/>
          <w:numId w:val="118"/>
        </w:numPr>
        <w:autoSpaceDE w:val="0"/>
        <w:autoSpaceDN w:val="0"/>
        <w:adjustRightInd w:val="0"/>
        <w:rPr>
          <w:rFonts w:cs="Times New Roman"/>
          <w:szCs w:val="24"/>
        </w:rPr>
      </w:pPr>
      <w:r>
        <w:rPr>
          <w:rFonts w:cs="Times New Roman"/>
          <w:szCs w:val="24"/>
        </w:rPr>
        <w:t>Free movement of services</w:t>
      </w:r>
    </w:p>
    <w:p w14:paraId="5266445C" w14:textId="7AE8D429" w:rsidR="00357B1D" w:rsidRDefault="00357B1D" w:rsidP="004A4C6A">
      <w:pPr>
        <w:pStyle w:val="ListParagraph"/>
        <w:numPr>
          <w:ilvl w:val="0"/>
          <w:numId w:val="118"/>
        </w:numPr>
        <w:autoSpaceDE w:val="0"/>
        <w:autoSpaceDN w:val="0"/>
        <w:adjustRightInd w:val="0"/>
        <w:rPr>
          <w:rFonts w:cs="Times New Roman"/>
          <w:szCs w:val="24"/>
        </w:rPr>
      </w:pPr>
      <w:r>
        <w:rPr>
          <w:rFonts w:cs="Times New Roman"/>
          <w:szCs w:val="24"/>
        </w:rPr>
        <w:t>Horizontal trade measures</w:t>
      </w:r>
    </w:p>
    <w:p w14:paraId="50151F06" w14:textId="22CC96E6" w:rsidR="00357B1D" w:rsidRDefault="00516451" w:rsidP="004A4C6A">
      <w:pPr>
        <w:pStyle w:val="ListParagraph"/>
        <w:numPr>
          <w:ilvl w:val="0"/>
          <w:numId w:val="118"/>
        </w:numPr>
        <w:autoSpaceDE w:val="0"/>
        <w:autoSpaceDN w:val="0"/>
        <w:adjustRightInd w:val="0"/>
        <w:rPr>
          <w:rFonts w:cs="Times New Roman"/>
          <w:szCs w:val="24"/>
        </w:rPr>
      </w:pPr>
      <w:r>
        <w:rPr>
          <w:rFonts w:cs="Times New Roman"/>
          <w:szCs w:val="24"/>
        </w:rPr>
        <w:t>Human capital development</w:t>
      </w:r>
    </w:p>
    <w:p w14:paraId="71B551FB" w14:textId="0FB28081" w:rsidR="00516451" w:rsidRPr="003F1B52" w:rsidRDefault="004C27FB" w:rsidP="004A4C6A">
      <w:pPr>
        <w:pStyle w:val="ListParagraph"/>
        <w:numPr>
          <w:ilvl w:val="0"/>
          <w:numId w:val="118"/>
        </w:numPr>
        <w:autoSpaceDE w:val="0"/>
        <w:autoSpaceDN w:val="0"/>
        <w:adjustRightInd w:val="0"/>
        <w:rPr>
          <w:rFonts w:cs="Times New Roman"/>
          <w:szCs w:val="24"/>
        </w:rPr>
      </w:pPr>
      <w:r w:rsidRPr="003F1B52">
        <w:rPr>
          <w:rFonts w:cs="Times New Roman"/>
          <w:szCs w:val="24"/>
        </w:rPr>
        <w:t>Business Enabling Environment and Competitiveness</w:t>
      </w:r>
    </w:p>
    <w:p w14:paraId="46F3BD50" w14:textId="435F6184" w:rsidR="003F1B52" w:rsidRPr="004A4C6A" w:rsidRDefault="003F1B52" w:rsidP="004A4C6A">
      <w:pPr>
        <w:pStyle w:val="ListParagraph"/>
        <w:numPr>
          <w:ilvl w:val="0"/>
          <w:numId w:val="118"/>
        </w:numPr>
        <w:autoSpaceDE w:val="0"/>
        <w:autoSpaceDN w:val="0"/>
        <w:adjustRightInd w:val="0"/>
        <w:rPr>
          <w:rFonts w:cs="Times New Roman"/>
          <w:szCs w:val="24"/>
        </w:rPr>
      </w:pPr>
      <w:r>
        <w:rPr>
          <w:rFonts w:cs="Times New Roman"/>
          <w:szCs w:val="24"/>
        </w:rPr>
        <w:t>Digital transformation</w:t>
      </w:r>
    </w:p>
    <w:p w14:paraId="312C149A" w14:textId="77777777" w:rsidR="00F43836" w:rsidRDefault="00F43836" w:rsidP="0059220C">
      <w:pPr>
        <w:autoSpaceDE w:val="0"/>
        <w:autoSpaceDN w:val="0"/>
        <w:adjustRightInd w:val="0"/>
        <w:jc w:val="left"/>
        <w:rPr>
          <w:rFonts w:cs="Times New Roman"/>
          <w:szCs w:val="24"/>
        </w:rPr>
      </w:pPr>
    </w:p>
    <w:p w14:paraId="57234229" w14:textId="71061C5D" w:rsidR="00EC289E" w:rsidRPr="004A4C6A" w:rsidRDefault="00EC289E" w:rsidP="0059220C">
      <w:pPr>
        <w:autoSpaceDE w:val="0"/>
        <w:autoSpaceDN w:val="0"/>
        <w:adjustRightInd w:val="0"/>
        <w:jc w:val="left"/>
        <w:rPr>
          <w:rFonts w:cs="Times New Roman"/>
          <w:szCs w:val="24"/>
        </w:rPr>
      </w:pPr>
      <w:r>
        <w:rPr>
          <w:rFonts w:cs="Times New Roman"/>
          <w:szCs w:val="24"/>
        </w:rPr>
        <w:t>The CRM Action</w:t>
      </w:r>
      <w:r w:rsidR="007F6618">
        <w:rPr>
          <w:rFonts w:cs="Times New Roman"/>
          <w:szCs w:val="24"/>
        </w:rPr>
        <w:t xml:space="preserve"> Plan </w:t>
      </w:r>
      <w:r w:rsidR="009D3DD7">
        <w:rPr>
          <w:rFonts w:cs="Times New Roman"/>
          <w:szCs w:val="24"/>
        </w:rPr>
        <w:t>2 is a stepping stone to th</w:t>
      </w:r>
      <w:r w:rsidR="00765853">
        <w:rPr>
          <w:rFonts w:cs="Times New Roman"/>
          <w:szCs w:val="24"/>
        </w:rPr>
        <w:t>e</w:t>
      </w:r>
      <w:r w:rsidR="002E7821">
        <w:rPr>
          <w:rFonts w:cs="Times New Roman"/>
          <w:szCs w:val="24"/>
        </w:rPr>
        <w:t xml:space="preserve"> EU single market</w:t>
      </w:r>
      <w:r w:rsidR="00FA3997">
        <w:rPr>
          <w:rFonts w:cs="Times New Roman"/>
          <w:szCs w:val="24"/>
        </w:rPr>
        <w:t xml:space="preserve">. The </w:t>
      </w:r>
      <w:r w:rsidR="005E0945">
        <w:rPr>
          <w:rFonts w:cs="Times New Roman"/>
          <w:szCs w:val="24"/>
        </w:rPr>
        <w:t>a</w:t>
      </w:r>
      <w:r w:rsidR="00FA3997">
        <w:rPr>
          <w:rFonts w:cs="Times New Roman"/>
          <w:szCs w:val="24"/>
        </w:rPr>
        <w:t xml:space="preserve">ction will also be implemented in this regard. </w:t>
      </w:r>
    </w:p>
    <w:p w14:paraId="11B55CDD" w14:textId="77777777" w:rsidR="006E4F2E" w:rsidRDefault="006E4F2E" w:rsidP="006E4F2E">
      <w:pPr>
        <w:pStyle w:val="Heading2"/>
        <w:numPr>
          <w:ilvl w:val="1"/>
          <w:numId w:val="113"/>
        </w:numPr>
        <w:ind w:left="788" w:hanging="431"/>
      </w:pPr>
      <w:proofErr w:type="spellStart"/>
      <w:r w:rsidRPr="00C03F96">
        <w:t>Beneficiar</w:t>
      </w:r>
      <w:proofErr w:type="spellEnd"/>
      <w:r w:rsidRPr="00C03F96">
        <w:t>(y)/(</w:t>
      </w:r>
      <w:proofErr w:type="spellStart"/>
      <w:r w:rsidRPr="00C03F96">
        <w:t>ies</w:t>
      </w:r>
      <w:proofErr w:type="spellEnd"/>
      <w:r w:rsidRPr="00C03F96">
        <w:t xml:space="preserve">) of the </w:t>
      </w:r>
      <w:r>
        <w:t>A</w:t>
      </w:r>
      <w:r w:rsidRPr="00C03F96">
        <w:t>ction</w:t>
      </w:r>
      <w:r w:rsidRPr="009258FE" w:rsidDel="00C03F96">
        <w:t xml:space="preserve"> </w:t>
      </w:r>
    </w:p>
    <w:p w14:paraId="4A69D0BA" w14:textId="68AE0056" w:rsidR="0045279F" w:rsidRPr="0045279F" w:rsidRDefault="006E4F2E" w:rsidP="00083BC4">
      <w:pPr>
        <w:rPr>
          <w:szCs w:val="24"/>
        </w:rPr>
      </w:pPr>
      <w:r w:rsidRPr="0082062A">
        <w:rPr>
          <w:szCs w:val="24"/>
        </w:rPr>
        <w:t xml:space="preserve">The action shall be carried out in </w:t>
      </w:r>
      <w:r w:rsidR="0045279F" w:rsidRPr="00020462">
        <w:rPr>
          <w:rFonts w:eastAsia="Times New Roman" w:cs="Times New Roman"/>
          <w:szCs w:val="24"/>
        </w:rPr>
        <w:t>Western Balkans (Albania, Bosnia and Herzegovina, Kosovo, Montenegro, North Macedonia, and Serbia)</w:t>
      </w:r>
      <w:r w:rsidR="0045279F">
        <w:rPr>
          <w:rFonts w:eastAsia="Times New Roman" w:cs="Times New Roman"/>
          <w:szCs w:val="24"/>
        </w:rPr>
        <w:t>.</w:t>
      </w:r>
    </w:p>
    <w:p w14:paraId="38F24A55" w14:textId="77777777" w:rsidR="00796284" w:rsidRDefault="00796284" w:rsidP="00083BC4"/>
    <w:p w14:paraId="421A604B" w14:textId="51CE5356" w:rsidR="006E4F2E" w:rsidRPr="0082062A" w:rsidRDefault="00796284" w:rsidP="00083BC4">
      <w:r w:rsidRPr="004A4C6A">
        <w:rPr>
          <w:noProof/>
          <w:szCs w:val="24"/>
        </w:rPr>
        <w:t xml:space="preserve">The </w:t>
      </w:r>
      <w:r w:rsidR="004F7CEE">
        <w:rPr>
          <w:noProof/>
          <w:szCs w:val="24"/>
        </w:rPr>
        <w:t>a</w:t>
      </w:r>
      <w:r w:rsidRPr="004A4C6A">
        <w:rPr>
          <w:noProof/>
          <w:szCs w:val="24"/>
        </w:rPr>
        <w:t xml:space="preserve">ction </w:t>
      </w:r>
      <w:r w:rsidRPr="004A4C6A">
        <w:rPr>
          <w:noProof/>
        </w:rPr>
        <w:t>is of a regional</w:t>
      </w:r>
      <w:r w:rsidR="00DB37BE">
        <w:rPr>
          <w:noProof/>
        </w:rPr>
        <w:t>,</w:t>
      </w:r>
      <w:r w:rsidRPr="004A4C6A">
        <w:rPr>
          <w:noProof/>
        </w:rPr>
        <w:t xml:space="preserve"> cross-border nature, fostering regional cooperation</w:t>
      </w:r>
      <w:r w:rsidRPr="0045279F">
        <w:rPr>
          <w:noProof/>
        </w:rPr>
        <w:t>.</w:t>
      </w:r>
      <w:r w:rsidRPr="0045279F">
        <w:rPr>
          <w:b/>
          <w:noProof/>
        </w:rPr>
        <w:t xml:space="preserve"> </w:t>
      </w:r>
      <w:r w:rsidRPr="004A4C6A">
        <w:rPr>
          <w:noProof/>
        </w:rPr>
        <w:t>Due to the action’s nature and the importance to ensure complete regional coverage, the eligibility of the action extends exceptionally to</w:t>
      </w:r>
      <w:r w:rsidR="0045279F">
        <w:rPr>
          <w:noProof/>
        </w:rPr>
        <w:t xml:space="preserve"> Moldova</w:t>
      </w:r>
      <w:r w:rsidR="004C483C">
        <w:rPr>
          <w:noProof/>
        </w:rPr>
        <w:t xml:space="preserve"> given that it is party to CEFTA agreement</w:t>
      </w:r>
      <w:r w:rsidR="0007161D">
        <w:rPr>
          <w:noProof/>
        </w:rPr>
        <w:t xml:space="preserve">, a central framework to </w:t>
      </w:r>
      <w:r w:rsidR="00AE1047">
        <w:rPr>
          <w:noProof/>
        </w:rPr>
        <w:t>promote</w:t>
      </w:r>
      <w:r w:rsidR="0007161D">
        <w:rPr>
          <w:noProof/>
        </w:rPr>
        <w:t xml:space="preserve"> trade and competitveness in the</w:t>
      </w:r>
      <w:r w:rsidR="00AE1047">
        <w:rPr>
          <w:noProof/>
        </w:rPr>
        <w:t xml:space="preserve"> region</w:t>
      </w:r>
      <w:r w:rsidR="008578AB">
        <w:rPr>
          <w:noProof/>
        </w:rPr>
        <w:t>.</w:t>
      </w:r>
      <w:r w:rsidRPr="0045279F">
        <w:rPr>
          <w:b/>
          <w:noProof/>
        </w:rPr>
        <w:t xml:space="preserve"> </w:t>
      </w:r>
      <w:r w:rsidR="009D73B8" w:rsidRPr="004A4C6A">
        <w:rPr>
          <w:bCs/>
          <w:noProof/>
        </w:rPr>
        <w:t xml:space="preserve">The inclusion of </w:t>
      </w:r>
      <w:r w:rsidR="00852770" w:rsidRPr="009D73B8">
        <w:rPr>
          <w:bCs/>
          <w:noProof/>
        </w:rPr>
        <w:t>Moldova</w:t>
      </w:r>
      <w:r w:rsidRPr="004A4C6A">
        <w:rPr>
          <w:noProof/>
        </w:rPr>
        <w:t xml:space="preserve"> </w:t>
      </w:r>
      <w:r w:rsidR="009D73B8">
        <w:rPr>
          <w:noProof/>
        </w:rPr>
        <w:t>as beneficiary</w:t>
      </w:r>
      <w:r w:rsidRPr="004A4C6A">
        <w:rPr>
          <w:noProof/>
        </w:rPr>
        <w:t xml:space="preserve"> constitutes an important element to ensure the coherence and effectiveness of Union financing </w:t>
      </w:r>
      <w:r w:rsidR="00CE4026">
        <w:rPr>
          <w:noProof/>
        </w:rPr>
        <w:t>and</w:t>
      </w:r>
      <w:r w:rsidRPr="004A4C6A">
        <w:rPr>
          <w:noProof/>
        </w:rPr>
        <w:t xml:space="preserve"> to foster regional cooperation</w:t>
      </w:r>
      <w:r w:rsidRPr="0045279F">
        <w:rPr>
          <w:noProof/>
        </w:rPr>
        <w:t>.</w:t>
      </w:r>
    </w:p>
    <w:p w14:paraId="08ECE6AE" w14:textId="6BABB49A" w:rsidR="00FD7FCD" w:rsidRPr="003C0CD7" w:rsidRDefault="00FD7FCD" w:rsidP="007540C6">
      <w:pPr>
        <w:pStyle w:val="Heading1"/>
      </w:pPr>
      <w:bookmarkStart w:id="15" w:name="_Toc73090733"/>
      <w:bookmarkEnd w:id="13"/>
      <w:r w:rsidRPr="003C0CD7">
        <w:t>RATIONALE</w:t>
      </w:r>
      <w:bookmarkEnd w:id="14"/>
      <w:bookmarkEnd w:id="15"/>
    </w:p>
    <w:p w14:paraId="035A54FE" w14:textId="77777777" w:rsidR="007C3E5D" w:rsidRPr="003C0CD7" w:rsidRDefault="00EE7957" w:rsidP="003C0CD7">
      <w:pPr>
        <w:pStyle w:val="Heading1"/>
        <w:numPr>
          <w:ilvl w:val="1"/>
          <w:numId w:val="1"/>
        </w:numPr>
      </w:pPr>
      <w:bookmarkStart w:id="16" w:name="_Toc58681324"/>
      <w:bookmarkStart w:id="17" w:name="_Toc58836454"/>
      <w:bookmarkStart w:id="18" w:name="_Toc58838072"/>
      <w:bookmarkStart w:id="19" w:name="_Toc58838127"/>
      <w:bookmarkStart w:id="20" w:name="_Toc58845970"/>
      <w:bookmarkStart w:id="21" w:name="_Toc58876979"/>
      <w:bookmarkStart w:id="22" w:name="_Toc58878014"/>
      <w:bookmarkStart w:id="23" w:name="_Toc59012327"/>
      <w:bookmarkStart w:id="24" w:name="_Toc59012903"/>
      <w:bookmarkStart w:id="25" w:name="_Toc59020751"/>
      <w:bookmarkStart w:id="26" w:name="_Toc59023350"/>
      <w:bookmarkStart w:id="27" w:name="_Toc59029519"/>
      <w:bookmarkStart w:id="28" w:name="_Toc59030335"/>
      <w:bookmarkStart w:id="29" w:name="_Toc59031652"/>
      <w:bookmarkStart w:id="30" w:name="_Toc62247152"/>
      <w:bookmarkStart w:id="31" w:name="_Toc62247209"/>
      <w:bookmarkStart w:id="32" w:name="_Toc62459251"/>
      <w:bookmarkStart w:id="33" w:name="_Toc62476915"/>
      <w:bookmarkStart w:id="34" w:name="_Toc63235823"/>
      <w:bookmarkStart w:id="35" w:name="_Toc63248929"/>
      <w:bookmarkStart w:id="36" w:name="_Toc63263258"/>
      <w:bookmarkStart w:id="37" w:name="_Toc64043035"/>
      <w:bookmarkStart w:id="38" w:name="_Toc65663746"/>
      <w:bookmarkStart w:id="39" w:name="_Toc65665561"/>
      <w:bookmarkStart w:id="40" w:name="_Toc65665923"/>
      <w:bookmarkStart w:id="41" w:name="_Toc65666102"/>
      <w:bookmarkStart w:id="42" w:name="_Toc65671179"/>
      <w:bookmarkStart w:id="43" w:name="_Toc65671238"/>
      <w:bookmarkStart w:id="44" w:name="_Toc65671895"/>
      <w:bookmarkStart w:id="45" w:name="_Toc65674751"/>
      <w:bookmarkStart w:id="46" w:name="_Toc65676401"/>
      <w:bookmarkStart w:id="47" w:name="_Toc65688238"/>
      <w:bookmarkStart w:id="48" w:name="_Toc66465127"/>
      <w:bookmarkStart w:id="49" w:name="_Toc66465580"/>
      <w:bookmarkStart w:id="50" w:name="_Toc66465639"/>
      <w:bookmarkStart w:id="51" w:name="_Toc66696365"/>
      <w:bookmarkStart w:id="52" w:name="_Toc67665914"/>
      <w:bookmarkStart w:id="53" w:name="_Toc69384673"/>
      <w:bookmarkStart w:id="54" w:name="_Toc69384804"/>
      <w:bookmarkStart w:id="55" w:name="_Toc69384933"/>
      <w:bookmarkStart w:id="56" w:name="_Toc69385061"/>
      <w:bookmarkStart w:id="57" w:name="_Toc69460809"/>
      <w:bookmarkStart w:id="58" w:name="_Toc69460936"/>
      <w:bookmarkStart w:id="59" w:name="_Toc69469897"/>
      <w:bookmarkStart w:id="60" w:name="_Toc69485760"/>
      <w:bookmarkStart w:id="61" w:name="_Toc69487635"/>
      <w:bookmarkStart w:id="62" w:name="_Toc72142225"/>
      <w:bookmarkStart w:id="63" w:name="_Toc72142311"/>
      <w:bookmarkStart w:id="64" w:name="_Toc73090651"/>
      <w:bookmarkStart w:id="65" w:name="_Toc73090734"/>
      <w:bookmarkStart w:id="66" w:name="_Toc59030336"/>
      <w:bookmarkStart w:id="67" w:name="_Toc59031653"/>
      <w:bookmarkStart w:id="68" w:name="_Toc62247153"/>
      <w:bookmarkStart w:id="69" w:name="_Toc62247210"/>
      <w:bookmarkStart w:id="70" w:name="_Toc62459252"/>
      <w:bookmarkStart w:id="71" w:name="_Toc62476916"/>
      <w:bookmarkStart w:id="72" w:name="_Toc63235824"/>
      <w:bookmarkStart w:id="73" w:name="_Toc63248930"/>
      <w:bookmarkStart w:id="74" w:name="_Toc63263259"/>
      <w:bookmarkStart w:id="75" w:name="_Toc64043036"/>
      <w:bookmarkStart w:id="76" w:name="_Toc65663747"/>
      <w:bookmarkStart w:id="77" w:name="_Toc65665562"/>
      <w:bookmarkStart w:id="78" w:name="_Toc65665924"/>
      <w:bookmarkStart w:id="79" w:name="_Toc65666103"/>
      <w:bookmarkStart w:id="80" w:name="_Toc65671180"/>
      <w:bookmarkStart w:id="81" w:name="_Toc65671239"/>
      <w:bookmarkStart w:id="82" w:name="_Toc65671896"/>
      <w:bookmarkStart w:id="83" w:name="_Toc65674752"/>
      <w:bookmarkStart w:id="84" w:name="_Toc65676402"/>
      <w:bookmarkStart w:id="85" w:name="_Toc65688239"/>
      <w:bookmarkStart w:id="86" w:name="_Toc66465128"/>
      <w:bookmarkStart w:id="87" w:name="_Toc66465581"/>
      <w:bookmarkStart w:id="88" w:name="_Toc66465640"/>
      <w:bookmarkStart w:id="89" w:name="_Toc66696366"/>
      <w:bookmarkStart w:id="90" w:name="_Toc67665915"/>
      <w:bookmarkStart w:id="91" w:name="_Toc69384674"/>
      <w:bookmarkStart w:id="92" w:name="_Toc69384805"/>
      <w:bookmarkStart w:id="93" w:name="_Toc69384934"/>
      <w:bookmarkStart w:id="94" w:name="_Toc69385062"/>
      <w:bookmarkStart w:id="95" w:name="_Toc69460810"/>
      <w:bookmarkStart w:id="96" w:name="_Toc69460937"/>
      <w:bookmarkStart w:id="97" w:name="_Toc69469898"/>
      <w:bookmarkStart w:id="98" w:name="_Toc69485761"/>
      <w:bookmarkStart w:id="99" w:name="_Toc69487636"/>
      <w:bookmarkStart w:id="100" w:name="_Toc72142226"/>
      <w:bookmarkStart w:id="101" w:name="_Toc72142312"/>
      <w:bookmarkStart w:id="102" w:name="_Toc73090652"/>
      <w:bookmarkStart w:id="103" w:name="_Toc73090735"/>
      <w:bookmarkStart w:id="104" w:name="_Toc47101944"/>
      <w:bookmarkStart w:id="105" w:name="_Toc51270439"/>
      <w:bookmarkStart w:id="106" w:name="_Ref58358139"/>
      <w:bookmarkStart w:id="107" w:name="_Ref58835173"/>
      <w:bookmarkStart w:id="108" w:name="_Ref58835175"/>
      <w:bookmarkStart w:id="109" w:name="_Ref58835182"/>
      <w:bookmarkStart w:id="110" w:name="_Toc7309073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3C0CD7">
        <w:t>C</w:t>
      </w:r>
      <w:r w:rsidR="00FD7FCD" w:rsidRPr="003C0CD7">
        <w:t>ontext</w:t>
      </w:r>
      <w:bookmarkEnd w:id="104"/>
      <w:bookmarkEnd w:id="105"/>
      <w:bookmarkEnd w:id="106"/>
      <w:bookmarkEnd w:id="107"/>
      <w:bookmarkEnd w:id="108"/>
      <w:bookmarkEnd w:id="109"/>
      <w:bookmarkEnd w:id="110"/>
    </w:p>
    <w:p w14:paraId="5B2BD618" w14:textId="60478108" w:rsidR="00723E96" w:rsidRDefault="00723E96" w:rsidP="00723E96">
      <w:bookmarkStart w:id="111" w:name="_Toc391999032"/>
      <w:bookmarkStart w:id="112" w:name="_Toc392858002"/>
      <w:bookmarkStart w:id="113" w:name="_Toc391022354"/>
      <w:bookmarkStart w:id="114" w:name="_Toc391537196"/>
      <w:bookmarkStart w:id="115" w:name="_Toc47101952"/>
      <w:bookmarkStart w:id="116" w:name="_Toc51270447"/>
      <w:bookmarkStart w:id="117" w:name="_Toc47101945"/>
      <w:bookmarkStart w:id="118" w:name="_Toc51270440"/>
      <w:r>
        <w:t>Despite a post COVID-19 economic rebound</w:t>
      </w:r>
      <w:r w:rsidR="00DC1483">
        <w:t>,</w:t>
      </w:r>
      <w:r>
        <w:t xml:space="preserve"> the Western Balkans region faced economic headwinds towards the end of 2022</w:t>
      </w:r>
      <w:r>
        <w:rPr>
          <w:rStyle w:val="FootnoteReference"/>
        </w:rPr>
        <w:footnoteReference w:id="3"/>
      </w:r>
      <w:r>
        <w:t xml:space="preserve"> as pandemic-related support measures decreased </w:t>
      </w:r>
      <w:proofErr w:type="gramStart"/>
      <w:r>
        <w:t>and also</w:t>
      </w:r>
      <w:proofErr w:type="gramEnd"/>
      <w:r>
        <w:t xml:space="preserve"> as a result of market disruption </w:t>
      </w:r>
      <w:r>
        <w:lastRenderedPageBreak/>
        <w:t xml:space="preserve">derived from </w:t>
      </w:r>
      <w:r w:rsidRPr="00E91BD6">
        <w:t>Russia’s</w:t>
      </w:r>
      <w:r>
        <w:t xml:space="preserve"> war of aggression against Ukraine. The convergence process of the Western Balkans with the European Union (EU) still requires further efforts in terms of structural reforms and competitiveness</w:t>
      </w:r>
      <w:r>
        <w:rPr>
          <w:rStyle w:val="FootnoteReference"/>
        </w:rPr>
        <w:footnoteReference w:id="4"/>
      </w:r>
      <w:r>
        <w:t>. Through the attraction of Foreign Direct Investments, enhanced trade policy measures, work to set up a Common Region Market</w:t>
      </w:r>
      <w:r w:rsidR="00FA5968">
        <w:t>, as well as</w:t>
      </w:r>
      <w:r>
        <w:t xml:space="preserve"> the Growth Plan for the Western Balkans</w:t>
      </w:r>
      <w:r w:rsidR="00FA5968">
        <w:t>,</w:t>
      </w:r>
      <w:r>
        <w:rPr>
          <w:rStyle w:val="FootnoteReference"/>
        </w:rPr>
        <w:footnoteReference w:id="5"/>
      </w:r>
      <w:r>
        <w:t xml:space="preserve"> the Western Balkan</w:t>
      </w:r>
      <w:r w:rsidR="00CF6F09">
        <w:t>s</w:t>
      </w:r>
      <w:r>
        <w:t xml:space="preserve"> </w:t>
      </w:r>
      <w:proofErr w:type="gramStart"/>
      <w:r>
        <w:t>have the opportunity to</w:t>
      </w:r>
      <w:proofErr w:type="gramEnd"/>
      <w:r>
        <w:t xml:space="preserve"> stimulate economic growth, innovation and address sustainable development challenges.</w:t>
      </w:r>
    </w:p>
    <w:p w14:paraId="31C6FBF6" w14:textId="77777777" w:rsidR="00246B52" w:rsidRDefault="00246B52" w:rsidP="00723E96"/>
    <w:p w14:paraId="5EC2F900" w14:textId="34DB9A40" w:rsidR="00246B52" w:rsidRDefault="00246B52" w:rsidP="00723E96">
      <w:r>
        <w:t>The Growth Plan aims to bring</w:t>
      </w:r>
      <w:r w:rsidRPr="00246B52">
        <w:t xml:space="preserve"> the Western Balkan partners closer to the EU </w:t>
      </w:r>
      <w:r w:rsidR="00EF7C9E">
        <w:t xml:space="preserve">by </w:t>
      </w:r>
      <w:r w:rsidRPr="00246B52">
        <w:t>offering some of the benefits of EU membership in advance of accession, boosting economic growth and accelerating socio-economic convergence.</w:t>
      </w:r>
      <w:r w:rsidR="0087712C">
        <w:t xml:space="preserve"> </w:t>
      </w:r>
      <w:r>
        <w:t xml:space="preserve">Launched in November 2023, the Growth Plan </w:t>
      </w:r>
      <w:r w:rsidRPr="00246B52">
        <w:t>has the potential to double the size of the Western Balkan economies within the next 10 years.</w:t>
      </w:r>
      <w:r w:rsidR="0087712C">
        <w:t xml:space="preserve"> </w:t>
      </w:r>
      <w:r>
        <w:t>The action aims to support the Growth Plan’s first two pillars: i) Enhancing integration in the EU Single Market and ii)</w:t>
      </w:r>
      <w:r w:rsidRPr="00246B52">
        <w:t xml:space="preserve"> Boosting economic integration within the Western Balkans through the Common Regional Market</w:t>
      </w:r>
      <w:r>
        <w:t xml:space="preserve">. </w:t>
      </w:r>
    </w:p>
    <w:p w14:paraId="619F185A" w14:textId="77777777" w:rsidR="00246B52" w:rsidRDefault="00246B52" w:rsidP="00723E96"/>
    <w:p w14:paraId="4D7DE395" w14:textId="3214B961" w:rsidR="00246B52" w:rsidRDefault="00246B52" w:rsidP="00723E96">
      <w:r>
        <w:t xml:space="preserve">DG NEAR has been working </w:t>
      </w:r>
      <w:r w:rsidR="00D67D24">
        <w:t>continuously</w:t>
      </w:r>
      <w:r>
        <w:t xml:space="preserve"> to support the Western Balkan</w:t>
      </w:r>
      <w:r w:rsidR="007D2A56">
        <w:t>’s economic integration</w:t>
      </w:r>
      <w:r w:rsidR="006770C2">
        <w:t xml:space="preserve">, </w:t>
      </w:r>
      <w:r w:rsidR="007D2A56">
        <w:t xml:space="preserve">first </w:t>
      </w:r>
      <w:r w:rsidR="006770C2">
        <w:t xml:space="preserve">from 2017, by </w:t>
      </w:r>
      <w:r w:rsidR="007D2A56">
        <w:t>supporting a Regional Economic Area and then</w:t>
      </w:r>
      <w:r w:rsidR="006770C2">
        <w:t xml:space="preserve"> -</w:t>
      </w:r>
      <w:r w:rsidR="007D2A56">
        <w:t xml:space="preserve"> building on its success</w:t>
      </w:r>
      <w:r w:rsidR="006770C2">
        <w:t xml:space="preserve"> –</w:t>
      </w:r>
      <w:r w:rsidR="007D2A56">
        <w:t xml:space="preserve"> </w:t>
      </w:r>
      <w:r w:rsidR="006770C2">
        <w:t xml:space="preserve">by </w:t>
      </w:r>
      <w:r w:rsidR="007D2A56">
        <w:t xml:space="preserve">supporting </w:t>
      </w:r>
      <w:r w:rsidR="006770C2">
        <w:t xml:space="preserve">the establishment of </w:t>
      </w:r>
      <w:r w:rsidR="007D2A56">
        <w:t>a Common Regional Market. Established in 2020, at</w:t>
      </w:r>
      <w:r w:rsidR="007D2A56" w:rsidRPr="007D2A56">
        <w:t xml:space="preserve"> the Berlin Process Summit </w:t>
      </w:r>
      <w:r w:rsidR="00FD6E11">
        <w:t xml:space="preserve">- </w:t>
      </w:r>
      <w:r w:rsidR="007D2A56" w:rsidRPr="007D2A56">
        <w:t>held on 10 November</w:t>
      </w:r>
      <w:r w:rsidR="007D2A56">
        <w:t xml:space="preserve"> </w:t>
      </w:r>
      <w:r w:rsidR="007D2A56" w:rsidRPr="007D2A56">
        <w:t>2020 in Sofia</w:t>
      </w:r>
      <w:r w:rsidR="00FD6E11">
        <w:t xml:space="preserve"> -</w:t>
      </w:r>
      <w:r w:rsidR="007D2A56">
        <w:t xml:space="preserve"> the first Common Regional Market Action Plan covered the period 2021-2024. The current action will support the second action plan: 2025-2028.</w:t>
      </w:r>
    </w:p>
    <w:p w14:paraId="1693DBDB" w14:textId="77777777" w:rsidR="008E22CE" w:rsidRDefault="008E22CE" w:rsidP="00723E96"/>
    <w:p w14:paraId="5BF4061E" w14:textId="127B001E" w:rsidR="00523B6F" w:rsidRDefault="00523B6F" w:rsidP="00523B6F">
      <w:r>
        <w:t xml:space="preserve">The </w:t>
      </w:r>
      <w:r w:rsidR="00012638">
        <w:t>a</w:t>
      </w:r>
      <w:r>
        <w:t xml:space="preserve">ction perfectly fits the overall Commission’s priority: </w:t>
      </w:r>
      <w:r w:rsidR="00284807">
        <w:t>‘</w:t>
      </w:r>
      <w:r w:rsidRPr="006F1D8E">
        <w:t>A stronger Europe in the world</w:t>
      </w:r>
      <w:r w:rsidR="00284807">
        <w:t>’</w:t>
      </w:r>
      <w:r>
        <w:t xml:space="preserve">, as reinforcing the Western Balkan’s economies is a geostrategic investment in a stable, </w:t>
      </w:r>
      <w:proofErr w:type="gramStart"/>
      <w:r>
        <w:t>strong</w:t>
      </w:r>
      <w:proofErr w:type="gramEnd"/>
      <w:r>
        <w:t xml:space="preserve"> and united Europe.</w:t>
      </w:r>
    </w:p>
    <w:p w14:paraId="0A502611" w14:textId="77777777" w:rsidR="00523B6F" w:rsidRDefault="00523B6F" w:rsidP="00523B6F"/>
    <w:p w14:paraId="6DA69480" w14:textId="1F9384A3" w:rsidR="00FD2035" w:rsidRDefault="00523B6F" w:rsidP="00523B6F">
      <w:r>
        <w:t>Window 4 of the</w:t>
      </w:r>
      <w:r w:rsidRPr="00E60C5F">
        <w:t xml:space="preserve"> </w:t>
      </w:r>
      <w:r>
        <w:t>Instrument for Pre-Accession Assistance (</w:t>
      </w:r>
      <w:r w:rsidRPr="00E60C5F">
        <w:t>IPA</w:t>
      </w:r>
      <w:r>
        <w:t>)</w:t>
      </w:r>
      <w:r w:rsidRPr="00E60C5F">
        <w:t xml:space="preserve"> III programming framework</w:t>
      </w:r>
      <w:r>
        <w:t xml:space="preserve"> addresses competitiveness and inclusive growth matters</w:t>
      </w:r>
      <w:r w:rsidR="008E22CE">
        <w:t xml:space="preserve"> and i</w:t>
      </w:r>
      <w:r>
        <w:t>ts</w:t>
      </w:r>
      <w:r w:rsidRPr="00E60C5F">
        <w:t xml:space="preserve"> </w:t>
      </w:r>
      <w:r>
        <w:t xml:space="preserve">thematic priority 2 on </w:t>
      </w:r>
      <w:r w:rsidR="00FD2035" w:rsidRPr="00FD2035">
        <w:t>Trade and trade facilitation (Common Regional Market / Support to Pillars 1 and 2 of the Growth Plan)</w:t>
      </w:r>
      <w:r w:rsidR="00FD2035">
        <w:t xml:space="preserve"> </w:t>
      </w:r>
      <w:r w:rsidR="008E22CE">
        <w:t>support and reinforce all five priority areas of the Economic and Investment Plan for the Western Balkans</w:t>
      </w:r>
      <w:r w:rsidR="008E22CE">
        <w:rPr>
          <w:rStyle w:val="FootnoteReference"/>
        </w:rPr>
        <w:footnoteReference w:id="6"/>
      </w:r>
      <w:r w:rsidR="008E22CE">
        <w:t xml:space="preserve">: sustainable transport, clean energy, environment and climate, digital future, human </w:t>
      </w:r>
      <w:proofErr w:type="gramStart"/>
      <w:r w:rsidR="008E22CE">
        <w:t>capital</w:t>
      </w:r>
      <w:proofErr w:type="gramEnd"/>
      <w:r w:rsidR="008E22CE">
        <w:t xml:space="preserve"> and private sector. </w:t>
      </w:r>
    </w:p>
    <w:p w14:paraId="4D979E28" w14:textId="77777777" w:rsidR="00523B6F" w:rsidRDefault="00523B6F" w:rsidP="00523B6F"/>
    <w:p w14:paraId="0D968CE7" w14:textId="2A586B65" w:rsidR="008E22CE" w:rsidRDefault="00142105" w:rsidP="008E22CE">
      <w:pPr>
        <w:keepLines/>
        <w:rPr>
          <w:rStyle w:val="cf01"/>
          <w:rFonts w:cs="Times New Roman"/>
          <w:szCs w:val="24"/>
        </w:rPr>
      </w:pPr>
      <w:bookmarkStart w:id="119" w:name="_Hlk143075648"/>
      <w:bookmarkStart w:id="120" w:name="_Hlk144223656"/>
      <w:bookmarkStart w:id="121" w:name="_Hlk143075628"/>
      <w:r w:rsidRPr="004A4C6A">
        <w:t>Business</w:t>
      </w:r>
      <w:r w:rsidR="008E22CE" w:rsidRPr="00F72B7F">
        <w:t xml:space="preserve"> activities link directly to EIP flagship 9 </w:t>
      </w:r>
      <w:r w:rsidR="008E22CE" w:rsidRPr="00F72B7F">
        <w:rPr>
          <w:rFonts w:eastAsia="Times New Roman"/>
          <w:b/>
          <w:bCs/>
          <w:sz w:val="22"/>
          <w:lang w:eastAsia="en-IE"/>
        </w:rPr>
        <w:t>'</w:t>
      </w:r>
      <w:r w:rsidR="008E22CE" w:rsidRPr="00F72B7F">
        <w:t xml:space="preserve">investing in the competitiveness of the private sector, which seeks the development of a robust, </w:t>
      </w:r>
      <w:proofErr w:type="gramStart"/>
      <w:r w:rsidR="008E22CE" w:rsidRPr="00F72B7F">
        <w:t>innovative</w:t>
      </w:r>
      <w:proofErr w:type="gramEnd"/>
      <w:r w:rsidR="008E22CE" w:rsidRPr="00F72B7F">
        <w:t xml:space="preserve"> and competitive private sector. This requires</w:t>
      </w:r>
      <w:proofErr w:type="gramStart"/>
      <w:r w:rsidR="008E22CE" w:rsidRPr="00F72B7F">
        <w:t>, in particular, increased</w:t>
      </w:r>
      <w:proofErr w:type="gramEnd"/>
      <w:r w:rsidR="008E22CE" w:rsidRPr="00F72B7F">
        <w:t xml:space="preserve"> investments in SMEs and MSMEs - including the promotion of green financing and innovative energy efficiency - and their capacity to innovate, scale-up and grow. </w:t>
      </w:r>
      <w:r w:rsidR="00205327" w:rsidRPr="004A4C6A">
        <w:t>These</w:t>
      </w:r>
      <w:r w:rsidR="008E22CE" w:rsidRPr="00F72B7F">
        <w:t xml:space="preserve"> activities are</w:t>
      </w:r>
      <w:r w:rsidR="008E22CE" w:rsidRPr="00F72B7F">
        <w:rPr>
          <w:rFonts w:cs="Times New Roman"/>
          <w:szCs w:val="24"/>
        </w:rPr>
        <w:t xml:space="preserve"> also </w:t>
      </w:r>
      <w:r w:rsidR="008E22CE" w:rsidRPr="00F72B7F">
        <w:t>in line with measures of the European Innovation Council (under the EU Horizon Europe programme) and with European Enterprise Network nodes in the region.</w:t>
      </w:r>
      <w:r w:rsidR="008E22CE" w:rsidRPr="00F72B7F">
        <w:rPr>
          <w:rStyle w:val="cf01"/>
          <w:rFonts w:cs="Times New Roman"/>
          <w:szCs w:val="24"/>
        </w:rPr>
        <w:t xml:space="preserve"> </w:t>
      </w:r>
    </w:p>
    <w:p w14:paraId="10E852F8" w14:textId="77777777" w:rsidR="008E22CE" w:rsidRPr="007B4EEF" w:rsidRDefault="008E22CE" w:rsidP="008E22CE">
      <w:pPr>
        <w:keepLines/>
      </w:pPr>
    </w:p>
    <w:bookmarkEnd w:id="119"/>
    <w:p w14:paraId="51DCC393" w14:textId="77777777" w:rsidR="006770C2" w:rsidRDefault="00523B6F" w:rsidP="00523B6F">
      <w:r>
        <w:t>The action will also contribute to the Green Agenda for the Western Balkans</w:t>
      </w:r>
      <w:r>
        <w:rPr>
          <w:rStyle w:val="FootnoteReference"/>
        </w:rPr>
        <w:footnoteReference w:id="7"/>
      </w:r>
      <w:r>
        <w:t xml:space="preserve"> </w:t>
      </w:r>
      <w:proofErr w:type="gramStart"/>
      <w:r>
        <w:t>in particular through</w:t>
      </w:r>
      <w:proofErr w:type="gramEnd"/>
      <w:r>
        <w:t xml:space="preserve"> green and circular economy value chains</w:t>
      </w:r>
      <w:r w:rsidRPr="000A0781">
        <w:t>.</w:t>
      </w:r>
    </w:p>
    <w:p w14:paraId="49F953EB" w14:textId="53FDFCEC" w:rsidR="008E22CE" w:rsidRDefault="00523B6F" w:rsidP="00523B6F">
      <w:r>
        <w:t xml:space="preserve"> </w:t>
      </w:r>
      <w:bookmarkEnd w:id="120"/>
    </w:p>
    <w:p w14:paraId="0C56AA55" w14:textId="1D1CDCA8" w:rsidR="00523B6F" w:rsidRPr="003C0CD7" w:rsidRDefault="00523B6F" w:rsidP="00523B6F">
      <w:r>
        <w:t xml:space="preserve">It will also contribute to the Digital Agenda in Western Balkans </w:t>
      </w:r>
      <w:r w:rsidR="00BB0DCE">
        <w:t xml:space="preserve">by </w:t>
      </w:r>
      <w:r w:rsidR="00BB0DCE" w:rsidRPr="00BB0DCE">
        <w:rPr>
          <w:lang w:val="en-GB"/>
        </w:rPr>
        <w:t xml:space="preserve">bringing the region closer to the EU Digital Single Market in the areas of digital connectivity, digital </w:t>
      </w:r>
      <w:proofErr w:type="gramStart"/>
      <w:r w:rsidR="00BB0DCE" w:rsidRPr="00BB0DCE">
        <w:rPr>
          <w:lang w:val="en-GB"/>
        </w:rPr>
        <w:t>economy</w:t>
      </w:r>
      <w:proofErr w:type="gramEnd"/>
      <w:r w:rsidR="00BB0DCE" w:rsidRPr="00BB0DCE">
        <w:rPr>
          <w:lang w:val="en-GB"/>
        </w:rPr>
        <w:t xml:space="preserve"> and cybersecurity</w:t>
      </w:r>
      <w:r w:rsidR="00BB0DCE" w:rsidRPr="00BB0DCE">
        <w:t xml:space="preserve"> </w:t>
      </w:r>
      <w:r w:rsidR="002D002C">
        <w:t xml:space="preserve">as well as </w:t>
      </w:r>
      <w:r>
        <w:t>through the electronic exchange of data for trade in goods and services</w:t>
      </w:r>
      <w:r w:rsidR="008A08C1">
        <w:t xml:space="preserve">. </w:t>
      </w:r>
      <w:r>
        <w:t xml:space="preserve">Both the digital and greens agendas are also of high importance to the business community in the region. </w:t>
      </w:r>
      <w:bookmarkEnd w:id="121"/>
    </w:p>
    <w:p w14:paraId="1D9E3466" w14:textId="77777777" w:rsidR="007D2A56" w:rsidRDefault="007D2A56" w:rsidP="00723E96"/>
    <w:p w14:paraId="1136A081" w14:textId="5B55B167" w:rsidR="007D2A56" w:rsidRDefault="007D2A56" w:rsidP="00723E96">
      <w:r>
        <w:t xml:space="preserve">The key </w:t>
      </w:r>
      <w:r w:rsidR="0012654C">
        <w:t>regional bodies</w:t>
      </w:r>
      <w:r>
        <w:t xml:space="preserve"> supporting </w:t>
      </w:r>
      <w:r w:rsidR="00E75541">
        <w:t>implementation of the</w:t>
      </w:r>
      <w:r>
        <w:t xml:space="preserve"> Common Regional Market</w:t>
      </w:r>
      <w:r w:rsidR="00E75541">
        <w:t xml:space="preserve"> are</w:t>
      </w:r>
      <w:r>
        <w:t xml:space="preserve"> the Regional Cooperation Council (RCC), </w:t>
      </w:r>
      <w:r w:rsidR="00E75541">
        <w:t xml:space="preserve">the </w:t>
      </w:r>
      <w:r w:rsidR="006F1D8E" w:rsidRPr="006F1D8E">
        <w:t>Central European Free Trade Agreement (CEFTA)</w:t>
      </w:r>
      <w:r w:rsidR="006F1D8E">
        <w:t xml:space="preserve"> and the </w:t>
      </w:r>
      <w:r w:rsidR="006F1D8E" w:rsidRPr="006F1D8E">
        <w:t xml:space="preserve">Western </w:t>
      </w:r>
      <w:r w:rsidR="00C626DC">
        <w:br/>
      </w:r>
      <w:r w:rsidR="006F1D8E" w:rsidRPr="006F1D8E">
        <w:t>Balkans 6 Chamber Investment Forum (WB6 CIF)</w:t>
      </w:r>
      <w:r w:rsidR="006F1D8E">
        <w:t xml:space="preserve">. In addition, </w:t>
      </w:r>
      <w:r w:rsidR="00C818B1">
        <w:t xml:space="preserve">sectoral partnerships are established with </w:t>
      </w:r>
      <w:r w:rsidR="006F1D8E">
        <w:lastRenderedPageBreak/>
        <w:t xml:space="preserve">other </w:t>
      </w:r>
      <w:r w:rsidR="00C818B1">
        <w:t>regional organisations such as the Transport Community</w:t>
      </w:r>
      <w:r w:rsidR="006C56E0">
        <w:t>,</w:t>
      </w:r>
      <w:r w:rsidR="00C818B1">
        <w:t xml:space="preserve"> the Energy </w:t>
      </w:r>
      <w:proofErr w:type="gramStart"/>
      <w:r w:rsidR="00C818B1">
        <w:t>Community</w:t>
      </w:r>
      <w:proofErr w:type="gramEnd"/>
      <w:r w:rsidR="006C56E0">
        <w:t xml:space="preserve"> and the Regional School </w:t>
      </w:r>
      <w:r w:rsidR="00642826">
        <w:t>of</w:t>
      </w:r>
      <w:r w:rsidR="006C56E0">
        <w:t xml:space="preserve"> Public Administration (</w:t>
      </w:r>
      <w:proofErr w:type="spellStart"/>
      <w:r w:rsidR="006C56E0">
        <w:t>R</w:t>
      </w:r>
      <w:r w:rsidR="00642826">
        <w:t>e</w:t>
      </w:r>
      <w:r w:rsidR="006C56E0">
        <w:t>SPA</w:t>
      </w:r>
      <w:proofErr w:type="spellEnd"/>
      <w:r w:rsidR="006C56E0">
        <w:t xml:space="preserve">). </w:t>
      </w:r>
    </w:p>
    <w:p w14:paraId="04FDE6AD" w14:textId="77777777" w:rsidR="007C3E5D" w:rsidRPr="003C0CD7" w:rsidRDefault="00174E00" w:rsidP="003C0CD7">
      <w:pPr>
        <w:pStyle w:val="Heading1"/>
        <w:numPr>
          <w:ilvl w:val="1"/>
          <w:numId w:val="1"/>
        </w:numPr>
      </w:pPr>
      <w:bookmarkStart w:id="122" w:name="_Toc69384691"/>
      <w:bookmarkStart w:id="123" w:name="_Toc69384822"/>
      <w:bookmarkStart w:id="124" w:name="_Toc69384951"/>
      <w:bookmarkStart w:id="125" w:name="_Toc69385079"/>
      <w:bookmarkStart w:id="126" w:name="_Toc69460827"/>
      <w:bookmarkStart w:id="127" w:name="_Toc69460954"/>
      <w:bookmarkStart w:id="128" w:name="_Toc73090738"/>
      <w:bookmarkStart w:id="129" w:name="_Ref58358106"/>
      <w:bookmarkEnd w:id="111"/>
      <w:bookmarkEnd w:id="112"/>
      <w:bookmarkEnd w:id="113"/>
      <w:bookmarkEnd w:id="114"/>
      <w:bookmarkEnd w:id="115"/>
      <w:bookmarkEnd w:id="116"/>
      <w:bookmarkEnd w:id="122"/>
      <w:bookmarkEnd w:id="123"/>
      <w:bookmarkEnd w:id="124"/>
      <w:bookmarkEnd w:id="125"/>
      <w:bookmarkEnd w:id="126"/>
      <w:bookmarkEnd w:id="127"/>
      <w:r w:rsidRPr="003C0CD7">
        <w:t>Problem A</w:t>
      </w:r>
      <w:r w:rsidR="00FD7FCD" w:rsidRPr="003C0CD7">
        <w:t>nalysis</w:t>
      </w:r>
      <w:bookmarkEnd w:id="128"/>
      <w:r w:rsidR="00FD7FCD" w:rsidRPr="003C0CD7">
        <w:t xml:space="preserve"> </w:t>
      </w:r>
      <w:bookmarkStart w:id="130" w:name="_Toc47101946"/>
      <w:bookmarkStart w:id="131" w:name="_Toc51270441"/>
      <w:bookmarkEnd w:id="117"/>
      <w:bookmarkEnd w:id="118"/>
      <w:bookmarkEnd w:id="129"/>
      <w:bookmarkEnd w:id="130"/>
      <w:bookmarkEnd w:id="131"/>
    </w:p>
    <w:p w14:paraId="1FE8AC7D" w14:textId="05C6B710" w:rsidR="00741E28" w:rsidRPr="004F3282" w:rsidRDefault="0054324C" w:rsidP="67CDA244">
      <w:pPr>
        <w:autoSpaceDE w:val="0"/>
        <w:autoSpaceDN w:val="0"/>
        <w:adjustRightInd w:val="0"/>
        <w:rPr>
          <w:rFonts w:cs="Times New Roman"/>
          <w:color w:val="000000"/>
          <w:szCs w:val="24"/>
        </w:rPr>
      </w:pPr>
      <w:r w:rsidRPr="004F3282">
        <w:rPr>
          <w:rFonts w:cs="Times New Roman"/>
          <w:color w:val="000000" w:themeColor="text1"/>
          <w:szCs w:val="24"/>
        </w:rPr>
        <w:t>E</w:t>
      </w:r>
      <w:r w:rsidR="000618F9" w:rsidRPr="004F3282">
        <w:rPr>
          <w:rFonts w:cs="Times New Roman"/>
          <w:color w:val="000000" w:themeColor="text1"/>
          <w:szCs w:val="24"/>
        </w:rPr>
        <w:t xml:space="preserve">conomic fragmentation in </w:t>
      </w:r>
      <w:r w:rsidR="00471C3E" w:rsidRPr="004F3282">
        <w:rPr>
          <w:rFonts w:cs="Times New Roman"/>
          <w:color w:val="000000" w:themeColor="text1"/>
          <w:szCs w:val="24"/>
        </w:rPr>
        <w:t xml:space="preserve">the </w:t>
      </w:r>
      <w:r w:rsidR="000618F9" w:rsidRPr="004F3282">
        <w:rPr>
          <w:rFonts w:cs="Times New Roman"/>
          <w:color w:val="000000" w:themeColor="text1"/>
          <w:szCs w:val="24"/>
        </w:rPr>
        <w:t xml:space="preserve">Western Balkans </w:t>
      </w:r>
      <w:r w:rsidR="001D0815" w:rsidRPr="004F3282">
        <w:rPr>
          <w:rFonts w:cs="Times New Roman"/>
          <w:color w:val="000000" w:themeColor="text1"/>
          <w:szCs w:val="24"/>
        </w:rPr>
        <w:t>restr</w:t>
      </w:r>
      <w:r w:rsidR="00E86AE7" w:rsidRPr="004F3282">
        <w:rPr>
          <w:rFonts w:cs="Times New Roman"/>
          <w:color w:val="000000" w:themeColor="text1"/>
          <w:szCs w:val="24"/>
        </w:rPr>
        <w:t>ict</w:t>
      </w:r>
      <w:r w:rsidR="001D0815" w:rsidRPr="004F3282">
        <w:rPr>
          <w:rFonts w:cs="Times New Roman"/>
          <w:color w:val="000000" w:themeColor="text1"/>
          <w:szCs w:val="24"/>
        </w:rPr>
        <w:t>s</w:t>
      </w:r>
      <w:r w:rsidR="000618F9" w:rsidRPr="004F3282">
        <w:rPr>
          <w:rFonts w:cs="Times New Roman"/>
          <w:color w:val="000000" w:themeColor="text1"/>
          <w:szCs w:val="24"/>
        </w:rPr>
        <w:t xml:space="preserve"> </w:t>
      </w:r>
      <w:r w:rsidR="008A5700" w:rsidRPr="004F3282">
        <w:rPr>
          <w:rFonts w:cs="Times New Roman"/>
          <w:color w:val="000000" w:themeColor="text1"/>
          <w:szCs w:val="24"/>
        </w:rPr>
        <w:t xml:space="preserve">the </w:t>
      </w:r>
      <w:r w:rsidR="000618F9" w:rsidRPr="004F3282">
        <w:rPr>
          <w:rFonts w:cs="Times New Roman"/>
          <w:color w:val="000000" w:themeColor="text1"/>
          <w:szCs w:val="24"/>
        </w:rPr>
        <w:t>convergence</w:t>
      </w:r>
      <w:r w:rsidR="00482367" w:rsidRPr="004F3282">
        <w:rPr>
          <w:rFonts w:cs="Times New Roman"/>
          <w:color w:val="000000" w:themeColor="text1"/>
          <w:szCs w:val="24"/>
        </w:rPr>
        <w:t xml:space="preserve"> of the region</w:t>
      </w:r>
      <w:r w:rsidR="000618F9" w:rsidRPr="004F3282">
        <w:rPr>
          <w:rFonts w:cs="Times New Roman"/>
          <w:color w:val="000000" w:themeColor="text1"/>
          <w:szCs w:val="24"/>
        </w:rPr>
        <w:t xml:space="preserve"> with the EU. </w:t>
      </w:r>
      <w:r w:rsidR="004A1092" w:rsidRPr="004F3282">
        <w:rPr>
          <w:rFonts w:cs="Times New Roman"/>
          <w:color w:val="000000" w:themeColor="text1"/>
          <w:szCs w:val="24"/>
        </w:rPr>
        <w:t xml:space="preserve">The </w:t>
      </w:r>
      <w:r w:rsidR="00EF7D7F" w:rsidRPr="004F3282">
        <w:rPr>
          <w:rFonts w:cs="Times New Roman"/>
          <w:color w:val="000000" w:themeColor="text1"/>
          <w:szCs w:val="24"/>
        </w:rPr>
        <w:t>Western Balkans are</w:t>
      </w:r>
      <w:r w:rsidR="000618F9" w:rsidRPr="004F3282">
        <w:rPr>
          <w:rFonts w:cs="Times New Roman"/>
          <w:color w:val="000000" w:themeColor="text1"/>
          <w:szCs w:val="24"/>
        </w:rPr>
        <w:t xml:space="preserve"> facing continued challenges from weak competitiveness, </w:t>
      </w:r>
      <w:r w:rsidR="00E86AE7" w:rsidRPr="004F3282">
        <w:rPr>
          <w:rFonts w:cs="Times New Roman"/>
          <w:color w:val="000000" w:themeColor="text1"/>
          <w:szCs w:val="24"/>
        </w:rPr>
        <w:t xml:space="preserve">a </w:t>
      </w:r>
      <w:r w:rsidR="000618F9" w:rsidRPr="004F3282">
        <w:rPr>
          <w:rFonts w:cs="Times New Roman"/>
          <w:color w:val="000000" w:themeColor="text1"/>
          <w:szCs w:val="24"/>
        </w:rPr>
        <w:t xml:space="preserve">scarce level of foreign direct investments, low market integration, high unemployment and significant brain drain. </w:t>
      </w:r>
      <w:r w:rsidR="003B251D" w:rsidRPr="004F3282">
        <w:rPr>
          <w:rFonts w:cs="Times New Roman"/>
          <w:color w:val="000000" w:themeColor="text1"/>
          <w:szCs w:val="24"/>
        </w:rPr>
        <w:t xml:space="preserve">The following paragraphs </w:t>
      </w:r>
      <w:r w:rsidR="005C1A64" w:rsidRPr="004F3282">
        <w:rPr>
          <w:rFonts w:cs="Times New Roman"/>
          <w:color w:val="000000" w:themeColor="text1"/>
          <w:szCs w:val="24"/>
        </w:rPr>
        <w:t>analyse the s</w:t>
      </w:r>
      <w:r w:rsidR="00BE1506" w:rsidRPr="004F3282">
        <w:rPr>
          <w:rFonts w:cs="Times New Roman"/>
          <w:color w:val="000000" w:themeColor="text1"/>
          <w:szCs w:val="24"/>
        </w:rPr>
        <w:t>pecific problems addressed by t</w:t>
      </w:r>
      <w:r w:rsidR="00741E28" w:rsidRPr="004F3282">
        <w:rPr>
          <w:rFonts w:cs="Times New Roman"/>
          <w:color w:val="000000" w:themeColor="text1"/>
          <w:szCs w:val="24"/>
        </w:rPr>
        <w:t xml:space="preserve">he </w:t>
      </w:r>
      <w:r w:rsidR="008D046A">
        <w:rPr>
          <w:rFonts w:cs="Times New Roman"/>
          <w:color w:val="000000" w:themeColor="text1"/>
          <w:szCs w:val="24"/>
        </w:rPr>
        <w:t>a</w:t>
      </w:r>
      <w:r w:rsidR="00741E28" w:rsidRPr="004F3282">
        <w:rPr>
          <w:rFonts w:cs="Times New Roman"/>
          <w:color w:val="000000" w:themeColor="text1"/>
          <w:szCs w:val="24"/>
        </w:rPr>
        <w:t>ction</w:t>
      </w:r>
      <w:r w:rsidR="005C1A64" w:rsidRPr="004F3282">
        <w:rPr>
          <w:rFonts w:cs="Times New Roman"/>
          <w:color w:val="000000" w:themeColor="text1"/>
          <w:szCs w:val="24"/>
        </w:rPr>
        <w:t xml:space="preserve"> as well as </w:t>
      </w:r>
      <w:r w:rsidR="006005BE" w:rsidRPr="004F3282">
        <w:rPr>
          <w:rFonts w:cs="Times New Roman"/>
          <w:color w:val="000000" w:themeColor="text1"/>
          <w:szCs w:val="24"/>
        </w:rPr>
        <w:t>a description</w:t>
      </w:r>
      <w:r w:rsidR="005C1A64" w:rsidRPr="004F3282">
        <w:rPr>
          <w:rFonts w:cs="Times New Roman"/>
          <w:color w:val="000000" w:themeColor="text1"/>
          <w:szCs w:val="24"/>
        </w:rPr>
        <w:t xml:space="preserve"> of stakeholders</w:t>
      </w:r>
      <w:r w:rsidR="006005BE" w:rsidRPr="004F3282">
        <w:rPr>
          <w:rFonts w:cs="Times New Roman"/>
          <w:color w:val="000000" w:themeColor="text1"/>
          <w:szCs w:val="24"/>
        </w:rPr>
        <w:t xml:space="preserve"> affected by the issues</w:t>
      </w:r>
      <w:r w:rsidR="0049690A" w:rsidRPr="004F3282">
        <w:rPr>
          <w:rFonts w:cs="Times New Roman"/>
          <w:color w:val="000000" w:themeColor="text1"/>
          <w:szCs w:val="24"/>
        </w:rPr>
        <w:t>.</w:t>
      </w:r>
    </w:p>
    <w:p w14:paraId="0F9D2594" w14:textId="77777777" w:rsidR="00FB6B1D" w:rsidRPr="004F3282" w:rsidRDefault="00FB6B1D" w:rsidP="000618F9">
      <w:pPr>
        <w:autoSpaceDE w:val="0"/>
        <w:autoSpaceDN w:val="0"/>
        <w:adjustRightInd w:val="0"/>
        <w:rPr>
          <w:rFonts w:cs="Times New Roman"/>
          <w:color w:val="000000"/>
          <w:szCs w:val="24"/>
        </w:rPr>
      </w:pPr>
    </w:p>
    <w:p w14:paraId="53B4BE68" w14:textId="78F72787" w:rsidR="001E1ACA" w:rsidRPr="004F3282" w:rsidRDefault="00C66362" w:rsidP="004A4C6A">
      <w:pPr>
        <w:pStyle w:val="ListParagraph"/>
        <w:numPr>
          <w:ilvl w:val="0"/>
          <w:numId w:val="114"/>
        </w:numPr>
        <w:autoSpaceDE w:val="0"/>
        <w:autoSpaceDN w:val="0"/>
        <w:adjustRightInd w:val="0"/>
        <w:rPr>
          <w:rFonts w:cs="Times New Roman"/>
          <w:color w:val="000000"/>
          <w:szCs w:val="24"/>
        </w:rPr>
      </w:pPr>
      <w:r w:rsidRPr="004F3282">
        <w:rPr>
          <w:rFonts w:cs="Times New Roman"/>
          <w:color w:val="000000"/>
          <w:szCs w:val="24"/>
        </w:rPr>
        <w:t>F</w:t>
      </w:r>
      <w:r w:rsidR="00741E28" w:rsidRPr="004F3282">
        <w:rPr>
          <w:rFonts w:cs="Times New Roman"/>
          <w:color w:val="000000"/>
          <w:szCs w:val="24"/>
        </w:rPr>
        <w:t>ree movement of goods</w:t>
      </w:r>
    </w:p>
    <w:p w14:paraId="66662AEA" w14:textId="77777777" w:rsidR="009E132A" w:rsidRPr="004F3282" w:rsidRDefault="009E132A" w:rsidP="005D3D33">
      <w:pPr>
        <w:rPr>
          <w:rFonts w:cs="Times New Roman"/>
          <w:color w:val="000000"/>
          <w:szCs w:val="24"/>
          <w:u w:val="single"/>
        </w:rPr>
      </w:pPr>
    </w:p>
    <w:p w14:paraId="50F40AC2" w14:textId="6E524D23" w:rsidR="006005BE" w:rsidRPr="004F3282" w:rsidRDefault="006005BE" w:rsidP="005D3D33">
      <w:pPr>
        <w:rPr>
          <w:rFonts w:cs="Times New Roman"/>
          <w:color w:val="000000"/>
          <w:szCs w:val="24"/>
          <w:u w:val="single"/>
        </w:rPr>
      </w:pPr>
      <w:r w:rsidRPr="004F3282">
        <w:rPr>
          <w:rFonts w:cs="Times New Roman"/>
          <w:color w:val="000000"/>
          <w:szCs w:val="24"/>
          <w:u w:val="single"/>
        </w:rPr>
        <w:t>Short problem analysis</w:t>
      </w:r>
    </w:p>
    <w:p w14:paraId="7BBB6971" w14:textId="77777777" w:rsidR="006005BE" w:rsidRPr="004F3282" w:rsidRDefault="006005BE" w:rsidP="005D3D33">
      <w:pPr>
        <w:rPr>
          <w:rFonts w:cs="Times New Roman"/>
          <w:color w:val="000000"/>
          <w:szCs w:val="24"/>
        </w:rPr>
      </w:pPr>
    </w:p>
    <w:p w14:paraId="5829F351" w14:textId="3CB46F50" w:rsidR="005D3D33" w:rsidRPr="004F3282" w:rsidRDefault="00FB6B1D" w:rsidP="005D3D33">
      <w:pPr>
        <w:rPr>
          <w:rFonts w:cs="Times New Roman"/>
          <w:color w:val="000000"/>
          <w:szCs w:val="24"/>
        </w:rPr>
      </w:pPr>
      <w:r w:rsidRPr="004F3282">
        <w:rPr>
          <w:rFonts w:cs="Times New Roman"/>
          <w:color w:val="000000" w:themeColor="text1"/>
          <w:szCs w:val="24"/>
        </w:rPr>
        <w:t xml:space="preserve">Trade relations in Western Balkan region are governed by </w:t>
      </w:r>
      <w:r w:rsidR="00137806" w:rsidRPr="004F3282">
        <w:rPr>
          <w:rFonts w:cs="Times New Roman"/>
          <w:color w:val="000000" w:themeColor="text1"/>
          <w:szCs w:val="24"/>
        </w:rPr>
        <w:t xml:space="preserve">the </w:t>
      </w:r>
      <w:r w:rsidRPr="004F3282">
        <w:rPr>
          <w:rFonts w:cs="Times New Roman"/>
          <w:color w:val="000000" w:themeColor="text1"/>
          <w:szCs w:val="24"/>
        </w:rPr>
        <w:t xml:space="preserve">CEFTA agreement </w:t>
      </w:r>
      <w:r w:rsidR="00137806" w:rsidRPr="004F3282">
        <w:rPr>
          <w:rFonts w:cs="Times New Roman"/>
          <w:color w:val="000000" w:themeColor="text1"/>
          <w:szCs w:val="24"/>
        </w:rPr>
        <w:t xml:space="preserve">2006 </w:t>
      </w:r>
      <w:r w:rsidRPr="004F3282">
        <w:rPr>
          <w:rFonts w:cs="Times New Roman"/>
          <w:color w:val="000000" w:themeColor="text1"/>
          <w:szCs w:val="24"/>
        </w:rPr>
        <w:t>and its additional protocols</w:t>
      </w:r>
      <w:r w:rsidR="00A55ABD" w:rsidRPr="004F3282">
        <w:rPr>
          <w:rFonts w:cs="Times New Roman"/>
          <w:color w:val="000000" w:themeColor="text1"/>
          <w:szCs w:val="24"/>
        </w:rPr>
        <w:t>. However,</w:t>
      </w:r>
      <w:r w:rsidRPr="004F3282">
        <w:rPr>
          <w:rFonts w:cs="Times New Roman"/>
          <w:color w:val="000000" w:themeColor="text1"/>
          <w:szCs w:val="24"/>
        </w:rPr>
        <w:t xml:space="preserve"> </w:t>
      </w:r>
      <w:r w:rsidR="005D3D33" w:rsidRPr="004F3282">
        <w:rPr>
          <w:rFonts w:cs="Times New Roman"/>
          <w:color w:val="000000" w:themeColor="text1"/>
          <w:szCs w:val="24"/>
        </w:rPr>
        <w:t xml:space="preserve">in recent years CEFTA parties experienced political challenges, essentially </w:t>
      </w:r>
      <w:proofErr w:type="gramStart"/>
      <w:r w:rsidR="005D3D33" w:rsidRPr="004F3282">
        <w:rPr>
          <w:rFonts w:cs="Times New Roman"/>
          <w:color w:val="000000" w:themeColor="text1"/>
          <w:szCs w:val="24"/>
        </w:rPr>
        <w:t>as a result of</w:t>
      </w:r>
      <w:proofErr w:type="gramEnd"/>
      <w:r w:rsidR="005D3D33" w:rsidRPr="004F3282">
        <w:rPr>
          <w:rFonts w:cs="Times New Roman"/>
          <w:color w:val="000000" w:themeColor="text1"/>
          <w:szCs w:val="24"/>
        </w:rPr>
        <w:t xml:space="preserve"> political disputes between Serbia and Kosovo. </w:t>
      </w:r>
      <w:r w:rsidR="00FF678C" w:rsidRPr="004F3282">
        <w:rPr>
          <w:rFonts w:cs="Times New Roman"/>
          <w:color w:val="000000" w:themeColor="text1"/>
          <w:szCs w:val="24"/>
        </w:rPr>
        <w:t xml:space="preserve">A direct consequence </w:t>
      </w:r>
      <w:r w:rsidR="005D3D33" w:rsidRPr="004F3282">
        <w:rPr>
          <w:rFonts w:cs="Times New Roman"/>
          <w:color w:val="000000" w:themeColor="text1"/>
          <w:szCs w:val="24"/>
        </w:rPr>
        <w:t xml:space="preserve">is </w:t>
      </w:r>
      <w:r w:rsidR="00FF678C" w:rsidRPr="004F3282">
        <w:rPr>
          <w:rFonts w:cs="Times New Roman"/>
          <w:color w:val="000000" w:themeColor="text1"/>
          <w:szCs w:val="24"/>
        </w:rPr>
        <w:t>that</w:t>
      </w:r>
      <w:r w:rsidR="005D3D33" w:rsidRPr="004F3282">
        <w:rPr>
          <w:rFonts w:cs="Times New Roman"/>
          <w:color w:val="000000" w:themeColor="text1"/>
          <w:szCs w:val="24"/>
        </w:rPr>
        <w:t xml:space="preserve"> </w:t>
      </w:r>
      <w:r w:rsidR="00FF678C" w:rsidRPr="004F3282">
        <w:rPr>
          <w:rFonts w:cs="Times New Roman"/>
          <w:color w:val="000000" w:themeColor="text1"/>
          <w:szCs w:val="24"/>
        </w:rPr>
        <w:t xml:space="preserve">several </w:t>
      </w:r>
      <w:r w:rsidR="006771C3" w:rsidRPr="004F3282">
        <w:rPr>
          <w:rFonts w:cs="Times New Roman"/>
          <w:color w:val="000000" w:themeColor="text1"/>
          <w:szCs w:val="24"/>
        </w:rPr>
        <w:t xml:space="preserve">CEFTA </w:t>
      </w:r>
      <w:r w:rsidR="005D3D33" w:rsidRPr="004F3282">
        <w:rPr>
          <w:rFonts w:cs="Times New Roman"/>
          <w:color w:val="000000" w:themeColor="text1"/>
          <w:szCs w:val="24"/>
        </w:rPr>
        <w:t xml:space="preserve">draft decisions </w:t>
      </w:r>
      <w:r w:rsidR="006771C3" w:rsidRPr="004F3282">
        <w:rPr>
          <w:rFonts w:cs="Times New Roman"/>
          <w:color w:val="000000" w:themeColor="text1"/>
          <w:szCs w:val="24"/>
        </w:rPr>
        <w:t xml:space="preserve">are </w:t>
      </w:r>
      <w:r w:rsidR="005D3D33" w:rsidRPr="004F3282">
        <w:rPr>
          <w:rFonts w:cs="Times New Roman"/>
          <w:color w:val="000000" w:themeColor="text1"/>
          <w:szCs w:val="24"/>
        </w:rPr>
        <w:t xml:space="preserve">finalised at technical level but not approved by CEFTA Joint Committee, CEFTA highest and more political structure. </w:t>
      </w:r>
      <w:r w:rsidR="004B17B7" w:rsidRPr="004F3282">
        <w:rPr>
          <w:rFonts w:cs="Times New Roman"/>
          <w:color w:val="000000" w:themeColor="text1"/>
          <w:szCs w:val="24"/>
        </w:rPr>
        <w:t>These decisions relate to key enablers to competitiveness and economic growth in the region (i.e.</w:t>
      </w:r>
      <w:r w:rsidR="00B041F4" w:rsidRPr="004F3282">
        <w:rPr>
          <w:rFonts w:cs="Times New Roman"/>
          <w:color w:val="000000" w:themeColor="text1"/>
          <w:szCs w:val="24"/>
        </w:rPr>
        <w:t xml:space="preserve"> trade facilitation for</w:t>
      </w:r>
      <w:r w:rsidR="00372707" w:rsidRPr="004F3282">
        <w:rPr>
          <w:rFonts w:cs="Times New Roman"/>
          <w:color w:val="000000" w:themeColor="text1"/>
          <w:szCs w:val="24"/>
        </w:rPr>
        <w:t xml:space="preserve"> authori</w:t>
      </w:r>
      <w:r w:rsidR="009967D4" w:rsidRPr="004F3282">
        <w:rPr>
          <w:rFonts w:cs="Times New Roman"/>
          <w:color w:val="000000" w:themeColor="text1"/>
          <w:szCs w:val="24"/>
        </w:rPr>
        <w:t>s</w:t>
      </w:r>
      <w:r w:rsidR="00372707" w:rsidRPr="004F3282">
        <w:rPr>
          <w:rFonts w:cs="Times New Roman"/>
          <w:color w:val="000000" w:themeColor="text1"/>
          <w:szCs w:val="24"/>
        </w:rPr>
        <w:t>ed economic operators,</w:t>
      </w:r>
      <w:r w:rsidR="004B17B7" w:rsidRPr="004F3282">
        <w:rPr>
          <w:rFonts w:cs="Times New Roman"/>
          <w:color w:val="000000" w:themeColor="text1"/>
          <w:szCs w:val="24"/>
        </w:rPr>
        <w:t xml:space="preserve"> </w:t>
      </w:r>
      <w:r w:rsidR="00B041F4" w:rsidRPr="004F3282">
        <w:rPr>
          <w:rFonts w:cs="Times New Roman"/>
          <w:color w:val="000000" w:themeColor="text1"/>
          <w:szCs w:val="24"/>
        </w:rPr>
        <w:t xml:space="preserve">promotion of </w:t>
      </w:r>
      <w:r w:rsidR="00061B70" w:rsidRPr="004F3282">
        <w:rPr>
          <w:rFonts w:cs="Times New Roman"/>
          <w:color w:val="000000" w:themeColor="text1"/>
          <w:szCs w:val="24"/>
        </w:rPr>
        <w:t>e-commerce</w:t>
      </w:r>
      <w:r w:rsidR="00B041F4" w:rsidRPr="004F3282">
        <w:rPr>
          <w:rFonts w:cs="Times New Roman"/>
          <w:color w:val="000000" w:themeColor="text1"/>
          <w:szCs w:val="24"/>
        </w:rPr>
        <w:t>, mutual recognition programmes).</w:t>
      </w:r>
      <w:r w:rsidR="00061B70" w:rsidRPr="004F3282">
        <w:rPr>
          <w:rFonts w:cs="Times New Roman"/>
          <w:color w:val="000000" w:themeColor="text1"/>
          <w:szCs w:val="24"/>
        </w:rPr>
        <w:t xml:space="preserve"> </w:t>
      </w:r>
    </w:p>
    <w:p w14:paraId="39AB157D" w14:textId="0B24B127" w:rsidR="007B6D1F" w:rsidRDefault="007B6D1F" w:rsidP="150A869B">
      <w:pPr>
        <w:rPr>
          <w:rFonts w:cs="Times New Roman"/>
          <w:color w:val="000000"/>
          <w:sz w:val="22"/>
        </w:rPr>
      </w:pPr>
    </w:p>
    <w:p w14:paraId="2A38476A" w14:textId="711F20E8" w:rsidR="00FB6B1D" w:rsidRPr="004F3282" w:rsidRDefault="00B66E02" w:rsidP="150A869B">
      <w:pPr>
        <w:rPr>
          <w:rFonts w:cs="Times New Roman"/>
          <w:color w:val="000000"/>
          <w:szCs w:val="24"/>
        </w:rPr>
      </w:pPr>
      <w:r w:rsidRPr="004F3282">
        <w:rPr>
          <w:rFonts w:cs="Times New Roman"/>
          <w:color w:val="000000" w:themeColor="text1"/>
          <w:szCs w:val="24"/>
        </w:rPr>
        <w:t>In parallel</w:t>
      </w:r>
      <w:r w:rsidR="0017696A" w:rsidRPr="004F3282">
        <w:rPr>
          <w:rFonts w:cs="Times New Roman"/>
          <w:color w:val="000000" w:themeColor="text1"/>
          <w:szCs w:val="24"/>
        </w:rPr>
        <w:t xml:space="preserve"> to the regional trade agenda</w:t>
      </w:r>
      <w:r w:rsidRPr="004F3282">
        <w:rPr>
          <w:rFonts w:cs="Times New Roman"/>
          <w:color w:val="000000" w:themeColor="text1"/>
          <w:szCs w:val="24"/>
        </w:rPr>
        <w:t xml:space="preserve">, each </w:t>
      </w:r>
      <w:r w:rsidR="00FB6B1D" w:rsidRPr="004F3282">
        <w:rPr>
          <w:rFonts w:cs="Times New Roman"/>
          <w:color w:val="000000" w:themeColor="text1"/>
          <w:szCs w:val="24"/>
        </w:rPr>
        <w:t>CEFTA party also engage</w:t>
      </w:r>
      <w:r w:rsidR="007877BA" w:rsidRPr="004F3282">
        <w:rPr>
          <w:rFonts w:cs="Times New Roman"/>
          <w:color w:val="000000" w:themeColor="text1"/>
          <w:szCs w:val="24"/>
        </w:rPr>
        <w:t>s</w:t>
      </w:r>
      <w:r w:rsidR="00FB6B1D" w:rsidRPr="004F3282">
        <w:rPr>
          <w:rFonts w:cs="Times New Roman"/>
          <w:color w:val="000000" w:themeColor="text1"/>
          <w:szCs w:val="24"/>
        </w:rPr>
        <w:t xml:space="preserve"> with the EU as part of their </w:t>
      </w:r>
      <w:r w:rsidR="007877BA" w:rsidRPr="004F3282">
        <w:rPr>
          <w:rFonts w:cs="Times New Roman"/>
          <w:color w:val="000000" w:themeColor="text1"/>
          <w:szCs w:val="24"/>
        </w:rPr>
        <w:t xml:space="preserve">EU </w:t>
      </w:r>
      <w:r w:rsidR="00FB6B1D" w:rsidRPr="004F3282">
        <w:rPr>
          <w:rFonts w:cs="Times New Roman"/>
          <w:color w:val="000000" w:themeColor="text1"/>
          <w:szCs w:val="24"/>
        </w:rPr>
        <w:t xml:space="preserve">accession </w:t>
      </w:r>
      <w:r w:rsidR="007877BA" w:rsidRPr="004F3282">
        <w:rPr>
          <w:rFonts w:cs="Times New Roman"/>
          <w:color w:val="000000" w:themeColor="text1"/>
          <w:szCs w:val="24"/>
        </w:rPr>
        <w:t xml:space="preserve">process, </w:t>
      </w:r>
      <w:r w:rsidR="00FB6B1D" w:rsidRPr="004F3282">
        <w:rPr>
          <w:rFonts w:cs="Times New Roman"/>
          <w:color w:val="000000" w:themeColor="text1"/>
          <w:szCs w:val="24"/>
        </w:rPr>
        <w:t>which leads to unsynchronised reforms of trade procedures and legislation. This can generate new trade barriers and can negatively impact the region</w:t>
      </w:r>
      <w:r w:rsidR="005D1F1E" w:rsidRPr="004F3282">
        <w:rPr>
          <w:rFonts w:cs="Times New Roman"/>
          <w:color w:val="000000" w:themeColor="text1"/>
          <w:szCs w:val="24"/>
        </w:rPr>
        <w:t>’s</w:t>
      </w:r>
      <w:r w:rsidR="00FB6B1D" w:rsidRPr="004F3282">
        <w:rPr>
          <w:rFonts w:cs="Times New Roman"/>
          <w:color w:val="000000" w:themeColor="text1"/>
          <w:szCs w:val="24"/>
        </w:rPr>
        <w:t xml:space="preserve"> competitiveness. A lack of regional coordination is also detrimental to the work of regulatory bodies and authorities in charge of controls and inspections when it comes to exchanging trade-related data (i.e. sanitary and phytosanitary matters, veterinary and medicines, data on authorised economic operators, etc.). As CEFTA market is not yet fully integrated, consumers are also affected through more expensive products, more limited </w:t>
      </w:r>
      <w:proofErr w:type="gramStart"/>
      <w:r w:rsidR="00FB6B1D" w:rsidRPr="004F3282">
        <w:rPr>
          <w:rFonts w:cs="Times New Roman"/>
          <w:color w:val="000000" w:themeColor="text1"/>
          <w:szCs w:val="24"/>
        </w:rPr>
        <w:t>options</w:t>
      </w:r>
      <w:proofErr w:type="gramEnd"/>
      <w:r w:rsidR="00FB6B1D" w:rsidRPr="004F3282">
        <w:rPr>
          <w:rFonts w:cs="Times New Roman"/>
          <w:color w:val="000000" w:themeColor="text1"/>
          <w:szCs w:val="24"/>
        </w:rPr>
        <w:t xml:space="preserve"> and less awareness in terms of standards. </w:t>
      </w:r>
    </w:p>
    <w:p w14:paraId="4DA759EA" w14:textId="77777777" w:rsidR="00FB6B1D" w:rsidRPr="004F3282" w:rsidRDefault="00FB6B1D" w:rsidP="00FB6B1D">
      <w:pPr>
        <w:rPr>
          <w:rFonts w:cs="Times New Roman"/>
          <w:color w:val="000000"/>
          <w:szCs w:val="24"/>
        </w:rPr>
      </w:pPr>
    </w:p>
    <w:p w14:paraId="283149F7" w14:textId="7EA26E33" w:rsidR="00FB6B1D" w:rsidRPr="004F3282" w:rsidRDefault="00FB6B1D" w:rsidP="00FB6B1D">
      <w:pPr>
        <w:rPr>
          <w:rFonts w:cs="Times New Roman"/>
          <w:color w:val="000000"/>
          <w:szCs w:val="24"/>
        </w:rPr>
      </w:pPr>
      <w:r w:rsidRPr="004F3282">
        <w:rPr>
          <w:rFonts w:cs="Times New Roman"/>
          <w:color w:val="000000" w:themeColor="text1"/>
          <w:szCs w:val="24"/>
        </w:rPr>
        <w:t>Enhancing the effectiveness of</w:t>
      </w:r>
      <w:r w:rsidR="007D4284" w:rsidRPr="004F3282">
        <w:rPr>
          <w:rFonts w:cs="Times New Roman"/>
          <w:color w:val="000000" w:themeColor="text1"/>
          <w:szCs w:val="24"/>
        </w:rPr>
        <w:t xml:space="preserve"> paperless</w:t>
      </w:r>
      <w:r w:rsidRPr="004F3282">
        <w:rPr>
          <w:rFonts w:cs="Times New Roman"/>
          <w:color w:val="000000" w:themeColor="text1"/>
          <w:szCs w:val="24"/>
        </w:rPr>
        <w:t xml:space="preserve"> customs and inspections operations, particularly </w:t>
      </w:r>
      <w:proofErr w:type="gramStart"/>
      <w:r w:rsidRPr="004F3282">
        <w:rPr>
          <w:rFonts w:cs="Times New Roman"/>
          <w:color w:val="000000" w:themeColor="text1"/>
          <w:szCs w:val="24"/>
        </w:rPr>
        <w:t>in the area of</w:t>
      </w:r>
      <w:proofErr w:type="gramEnd"/>
      <w:r w:rsidRPr="004F3282">
        <w:rPr>
          <w:rFonts w:cs="Times New Roman"/>
          <w:color w:val="000000" w:themeColor="text1"/>
          <w:szCs w:val="24"/>
        </w:rPr>
        <w:t xml:space="preserve"> controls is another important requirement to improve trade flows in </w:t>
      </w:r>
      <w:r w:rsidR="005E43A7" w:rsidRPr="004F3282">
        <w:rPr>
          <w:rFonts w:cs="Times New Roman"/>
          <w:color w:val="000000" w:themeColor="text1"/>
          <w:szCs w:val="24"/>
        </w:rPr>
        <w:t xml:space="preserve">the </w:t>
      </w:r>
      <w:r w:rsidRPr="004F3282">
        <w:rPr>
          <w:rFonts w:cs="Times New Roman"/>
          <w:color w:val="000000" w:themeColor="text1"/>
          <w:szCs w:val="24"/>
        </w:rPr>
        <w:t xml:space="preserve">Western Balkans. </w:t>
      </w:r>
      <w:r w:rsidR="00B35364" w:rsidRPr="004F3282">
        <w:rPr>
          <w:rFonts w:cs="Times New Roman"/>
          <w:color w:val="000000" w:themeColor="text1"/>
          <w:szCs w:val="24"/>
        </w:rPr>
        <w:t xml:space="preserve">Currently, </w:t>
      </w:r>
      <w:r w:rsidR="0031202F" w:rsidRPr="004F3282">
        <w:rPr>
          <w:rFonts w:cs="Times New Roman"/>
          <w:color w:val="000000" w:themeColor="text1"/>
          <w:szCs w:val="24"/>
        </w:rPr>
        <w:t xml:space="preserve">the digital transmission of information is not systematic, some </w:t>
      </w:r>
      <w:r w:rsidR="00806891" w:rsidRPr="004F3282">
        <w:rPr>
          <w:rFonts w:cs="Times New Roman"/>
          <w:color w:val="000000" w:themeColor="text1"/>
          <w:szCs w:val="24"/>
        </w:rPr>
        <w:t>government</w:t>
      </w:r>
      <w:r w:rsidR="00C76EF8" w:rsidRPr="004F3282">
        <w:rPr>
          <w:rFonts w:cs="Times New Roman"/>
          <w:color w:val="000000" w:themeColor="text1"/>
          <w:szCs w:val="24"/>
        </w:rPr>
        <w:t xml:space="preserve"> agencies still require paper documents</w:t>
      </w:r>
      <w:r w:rsidR="00B80B52" w:rsidRPr="004F3282">
        <w:rPr>
          <w:rFonts w:cs="Times New Roman"/>
          <w:color w:val="000000" w:themeColor="text1"/>
          <w:szCs w:val="24"/>
        </w:rPr>
        <w:t xml:space="preserve"> and requirements are not always clear for business operators</w:t>
      </w:r>
      <w:r w:rsidR="00C76EF8" w:rsidRPr="004F3282">
        <w:rPr>
          <w:rFonts w:cs="Times New Roman"/>
          <w:color w:val="000000" w:themeColor="text1"/>
          <w:szCs w:val="24"/>
        </w:rPr>
        <w:t xml:space="preserve">. </w:t>
      </w:r>
      <w:r w:rsidR="00B80B52" w:rsidRPr="004F3282">
        <w:rPr>
          <w:rFonts w:cs="Times New Roman"/>
          <w:color w:val="000000" w:themeColor="text1"/>
          <w:szCs w:val="24"/>
        </w:rPr>
        <w:t>The</w:t>
      </w:r>
      <w:r w:rsidR="00C76EF8" w:rsidRPr="004F3282">
        <w:rPr>
          <w:rFonts w:cs="Times New Roman"/>
          <w:color w:val="000000" w:themeColor="text1"/>
          <w:szCs w:val="24"/>
        </w:rPr>
        <w:t xml:space="preserve"> cooperation </w:t>
      </w:r>
      <w:r w:rsidR="00B80B52" w:rsidRPr="004F3282">
        <w:rPr>
          <w:rFonts w:cs="Times New Roman"/>
          <w:color w:val="000000" w:themeColor="text1"/>
          <w:szCs w:val="24"/>
        </w:rPr>
        <w:t>between government agencies is also limited</w:t>
      </w:r>
      <w:r w:rsidR="00F14119" w:rsidRPr="004F3282">
        <w:rPr>
          <w:rFonts w:cs="Times New Roman"/>
          <w:color w:val="000000" w:themeColor="text1"/>
          <w:szCs w:val="24"/>
        </w:rPr>
        <w:t>. This</w:t>
      </w:r>
      <w:r w:rsidR="003A56A1" w:rsidRPr="004F3282">
        <w:rPr>
          <w:rFonts w:cs="Times New Roman"/>
          <w:color w:val="000000" w:themeColor="text1"/>
          <w:szCs w:val="24"/>
        </w:rPr>
        <w:t xml:space="preserve"> can</w:t>
      </w:r>
      <w:r w:rsidR="00F14119" w:rsidRPr="004F3282">
        <w:rPr>
          <w:rFonts w:cs="Times New Roman"/>
          <w:color w:val="000000" w:themeColor="text1"/>
          <w:szCs w:val="24"/>
        </w:rPr>
        <w:t xml:space="preserve"> lead to </w:t>
      </w:r>
      <w:r w:rsidR="0009289F" w:rsidRPr="004F3282">
        <w:rPr>
          <w:rFonts w:cs="Times New Roman"/>
          <w:color w:val="000000" w:themeColor="text1"/>
          <w:szCs w:val="24"/>
        </w:rPr>
        <w:t>additional delays during customs clearance.</w:t>
      </w:r>
      <w:r w:rsidR="0084366D" w:rsidRPr="004F3282">
        <w:rPr>
          <w:rFonts w:cs="Times New Roman"/>
          <w:color w:val="000000" w:themeColor="text1"/>
          <w:szCs w:val="24"/>
        </w:rPr>
        <w:t xml:space="preserve"> </w:t>
      </w:r>
      <w:r w:rsidR="005F1677" w:rsidRPr="004F3282">
        <w:rPr>
          <w:rFonts w:cs="Times New Roman"/>
          <w:color w:val="000000" w:themeColor="text1"/>
          <w:szCs w:val="24"/>
        </w:rPr>
        <w:t xml:space="preserve">Further improving digital data exchange could contribute decisively to improve trade within CEFTA while generating environmental benefits (i.e. less trucks in queues at the borders). Change of practices within government agencies involved in customs clearance, together with reskilling programmes, could promote gender-balance within several institutions. Digitalisation can also reduce the risk of fraud and corruption at border </w:t>
      </w:r>
      <w:r w:rsidR="00ED4B27" w:rsidRPr="004F3282">
        <w:rPr>
          <w:rFonts w:cs="Times New Roman"/>
          <w:color w:val="000000" w:themeColor="text1"/>
          <w:szCs w:val="24"/>
        </w:rPr>
        <w:t>posts and</w:t>
      </w:r>
      <w:r w:rsidR="005F1677" w:rsidRPr="004F3282">
        <w:rPr>
          <w:rFonts w:cs="Times New Roman"/>
          <w:color w:val="000000" w:themeColor="text1"/>
          <w:szCs w:val="24"/>
        </w:rPr>
        <w:t xml:space="preserve"> promote peace in the region through more integrated and inter-related economies and societies.  </w:t>
      </w:r>
    </w:p>
    <w:p w14:paraId="2154DEE1" w14:textId="37415D4B" w:rsidR="00484DAE" w:rsidRPr="004F3282" w:rsidRDefault="00484DAE" w:rsidP="00FB6B1D">
      <w:pPr>
        <w:rPr>
          <w:rFonts w:cs="Times New Roman"/>
          <w:color w:val="000000"/>
          <w:szCs w:val="24"/>
        </w:rPr>
      </w:pPr>
    </w:p>
    <w:p w14:paraId="091D7D68" w14:textId="523E641C" w:rsidR="009355DC" w:rsidRPr="004F3282" w:rsidRDefault="009355DC" w:rsidP="001E1ACA">
      <w:pPr>
        <w:autoSpaceDE w:val="0"/>
        <w:autoSpaceDN w:val="0"/>
        <w:adjustRightInd w:val="0"/>
        <w:rPr>
          <w:rFonts w:cs="Times New Roman"/>
          <w:color w:val="000000"/>
          <w:szCs w:val="24"/>
        </w:rPr>
      </w:pPr>
      <w:r w:rsidRPr="004F3282">
        <w:rPr>
          <w:rFonts w:cs="Times New Roman"/>
          <w:color w:val="000000"/>
          <w:szCs w:val="24"/>
        </w:rPr>
        <w:t xml:space="preserve">The lack of mutual recognition programmes </w:t>
      </w:r>
      <w:r w:rsidR="00566820" w:rsidRPr="004F3282">
        <w:rPr>
          <w:rFonts w:cs="Times New Roman"/>
          <w:color w:val="000000"/>
          <w:szCs w:val="24"/>
        </w:rPr>
        <w:t xml:space="preserve">also </w:t>
      </w:r>
      <w:r w:rsidR="00EC70DF" w:rsidRPr="004F3282">
        <w:rPr>
          <w:rFonts w:cs="Times New Roman"/>
          <w:color w:val="000000"/>
          <w:szCs w:val="24"/>
        </w:rPr>
        <w:t>generates</w:t>
      </w:r>
      <w:r w:rsidR="00215A66" w:rsidRPr="004F3282">
        <w:rPr>
          <w:rFonts w:cs="Times New Roman"/>
          <w:color w:val="000000"/>
          <w:szCs w:val="24"/>
        </w:rPr>
        <w:t xml:space="preserve"> additional costs to businesses in </w:t>
      </w:r>
      <w:r w:rsidR="00E3566B" w:rsidRPr="004F3282">
        <w:rPr>
          <w:rFonts w:cs="Times New Roman"/>
          <w:color w:val="000000"/>
          <w:szCs w:val="24"/>
        </w:rPr>
        <w:t xml:space="preserve">the region. For instance, while several </w:t>
      </w:r>
      <w:r w:rsidR="00A704D2" w:rsidRPr="004F3282">
        <w:rPr>
          <w:rFonts w:cs="Times New Roman"/>
          <w:color w:val="000000"/>
          <w:szCs w:val="24"/>
        </w:rPr>
        <w:t>countries have finalised Authorised Economic Operators (AEOs) programmes</w:t>
      </w:r>
      <w:r w:rsidR="00BE0F85" w:rsidRPr="004F3282">
        <w:rPr>
          <w:rFonts w:cs="Times New Roman"/>
          <w:color w:val="000000"/>
          <w:szCs w:val="24"/>
        </w:rPr>
        <w:t xml:space="preserve"> for trusted operators</w:t>
      </w:r>
      <w:r w:rsidR="00A704D2" w:rsidRPr="004F3282">
        <w:rPr>
          <w:rFonts w:cs="Times New Roman"/>
          <w:color w:val="000000"/>
          <w:szCs w:val="24"/>
        </w:rPr>
        <w:t>, benefits remain limited u</w:t>
      </w:r>
      <w:r w:rsidR="002B09A3" w:rsidRPr="004F3282">
        <w:rPr>
          <w:rFonts w:cs="Times New Roman"/>
          <w:color w:val="000000"/>
          <w:szCs w:val="24"/>
        </w:rPr>
        <w:t xml:space="preserve">ntil full recognition </w:t>
      </w:r>
      <w:r w:rsidR="006653D2" w:rsidRPr="004F3282">
        <w:rPr>
          <w:rFonts w:cs="Times New Roman"/>
          <w:color w:val="000000"/>
          <w:szCs w:val="24"/>
        </w:rPr>
        <w:t>of individual programmes within</w:t>
      </w:r>
      <w:r w:rsidR="005E5831" w:rsidRPr="004F3282">
        <w:rPr>
          <w:rFonts w:cs="Times New Roman"/>
          <w:color w:val="000000"/>
          <w:szCs w:val="24"/>
        </w:rPr>
        <w:t xml:space="preserve"> CEFTA. The same goes for </w:t>
      </w:r>
      <w:r w:rsidR="006C7F59" w:rsidRPr="004F3282">
        <w:rPr>
          <w:rFonts w:cs="Times New Roman"/>
          <w:color w:val="000000"/>
          <w:szCs w:val="24"/>
        </w:rPr>
        <w:t xml:space="preserve">the recognition of </w:t>
      </w:r>
      <w:r w:rsidR="005E6B82" w:rsidRPr="004F3282">
        <w:rPr>
          <w:rFonts w:cs="Times New Roman"/>
          <w:color w:val="000000"/>
          <w:szCs w:val="24"/>
        </w:rPr>
        <w:t>confo</w:t>
      </w:r>
      <w:r w:rsidR="006C7F59" w:rsidRPr="004F3282">
        <w:rPr>
          <w:rFonts w:cs="Times New Roman"/>
          <w:color w:val="000000"/>
          <w:szCs w:val="24"/>
        </w:rPr>
        <w:t>rmity assessment results</w:t>
      </w:r>
      <w:r w:rsidR="009967D4" w:rsidRPr="004F3282">
        <w:rPr>
          <w:rFonts w:cs="Times New Roman"/>
          <w:color w:val="000000"/>
          <w:szCs w:val="24"/>
        </w:rPr>
        <w:t>,</w:t>
      </w:r>
      <w:r w:rsidR="00983935" w:rsidRPr="004F3282">
        <w:rPr>
          <w:rFonts w:cs="Times New Roman"/>
          <w:color w:val="000000"/>
          <w:szCs w:val="24"/>
        </w:rPr>
        <w:t xml:space="preserve"> where companies can face higher costs and delays for seeking </w:t>
      </w:r>
      <w:r w:rsidR="002405D2" w:rsidRPr="004F3282">
        <w:rPr>
          <w:rFonts w:cs="Times New Roman"/>
          <w:color w:val="000000"/>
          <w:szCs w:val="24"/>
        </w:rPr>
        <w:t>recogni</w:t>
      </w:r>
      <w:r w:rsidR="009967D4" w:rsidRPr="004F3282">
        <w:rPr>
          <w:rFonts w:cs="Times New Roman"/>
          <w:color w:val="000000"/>
          <w:szCs w:val="24"/>
        </w:rPr>
        <w:t>s</w:t>
      </w:r>
      <w:r w:rsidR="002405D2" w:rsidRPr="004F3282">
        <w:rPr>
          <w:rFonts w:cs="Times New Roman"/>
          <w:color w:val="000000"/>
          <w:szCs w:val="24"/>
        </w:rPr>
        <w:t xml:space="preserve">ed testing results before placing their products on the market. </w:t>
      </w:r>
    </w:p>
    <w:p w14:paraId="16857C59" w14:textId="77777777" w:rsidR="006005BE" w:rsidRPr="004F3282" w:rsidRDefault="006005BE" w:rsidP="001E1ACA">
      <w:pPr>
        <w:autoSpaceDE w:val="0"/>
        <w:autoSpaceDN w:val="0"/>
        <w:adjustRightInd w:val="0"/>
        <w:rPr>
          <w:rFonts w:cs="Times New Roman"/>
          <w:color w:val="000000"/>
          <w:szCs w:val="24"/>
        </w:rPr>
      </w:pPr>
    </w:p>
    <w:p w14:paraId="229B260B" w14:textId="77777777" w:rsidR="006005BE" w:rsidRPr="004F3282" w:rsidRDefault="006005BE" w:rsidP="006005BE">
      <w:pPr>
        <w:rPr>
          <w:rFonts w:cs="Times New Roman"/>
          <w:color w:val="000000"/>
          <w:szCs w:val="24"/>
          <w:u w:val="single"/>
        </w:rPr>
      </w:pPr>
      <w:r w:rsidRPr="004F3282">
        <w:rPr>
          <w:rFonts w:cs="Times New Roman"/>
          <w:color w:val="000000"/>
          <w:szCs w:val="24"/>
          <w:u w:val="single"/>
        </w:rPr>
        <w:t xml:space="preserve">Identification of main stakeholders and corresponding institutional and/or organisational issues (mandates, potential roles, and capacities) to be covered by the </w:t>
      </w:r>
      <w:proofErr w:type="gramStart"/>
      <w:r w:rsidRPr="004F3282">
        <w:rPr>
          <w:rFonts w:cs="Times New Roman"/>
          <w:color w:val="000000"/>
          <w:szCs w:val="24"/>
          <w:u w:val="single"/>
        </w:rPr>
        <w:t>action</w:t>
      </w:r>
      <w:proofErr w:type="gramEnd"/>
    </w:p>
    <w:p w14:paraId="350F2AC5" w14:textId="77777777" w:rsidR="006005BE" w:rsidRDefault="006005BE" w:rsidP="006005BE">
      <w:pPr>
        <w:rPr>
          <w:szCs w:val="24"/>
        </w:rPr>
      </w:pPr>
    </w:p>
    <w:p w14:paraId="13BFD45C" w14:textId="272452EA" w:rsidR="006005BE" w:rsidRPr="004F3282" w:rsidRDefault="006005BE" w:rsidP="001E1ACA">
      <w:pPr>
        <w:autoSpaceDE w:val="0"/>
        <w:autoSpaceDN w:val="0"/>
        <w:adjustRightInd w:val="0"/>
        <w:rPr>
          <w:rFonts w:cs="Times New Roman"/>
          <w:color w:val="000000"/>
          <w:szCs w:val="24"/>
        </w:rPr>
      </w:pPr>
      <w:r w:rsidRPr="004F3282">
        <w:rPr>
          <w:rFonts w:cs="Times New Roman"/>
          <w:color w:val="000000"/>
          <w:szCs w:val="24"/>
        </w:rPr>
        <w:t xml:space="preserve">The main stakeholders </w:t>
      </w:r>
      <w:r w:rsidR="00DF0B41" w:rsidRPr="004F3282">
        <w:rPr>
          <w:rFonts w:cs="Times New Roman"/>
          <w:color w:val="000000"/>
          <w:szCs w:val="24"/>
        </w:rPr>
        <w:t>concerned for the resolution of this p</w:t>
      </w:r>
      <w:r w:rsidR="00F161E8" w:rsidRPr="004F3282">
        <w:rPr>
          <w:rFonts w:cs="Times New Roman"/>
          <w:color w:val="000000"/>
          <w:szCs w:val="24"/>
        </w:rPr>
        <w:t xml:space="preserve">roblem </w:t>
      </w:r>
      <w:r w:rsidRPr="004F3282">
        <w:rPr>
          <w:rFonts w:cs="Times New Roman"/>
          <w:color w:val="000000"/>
          <w:szCs w:val="24"/>
        </w:rPr>
        <w:t xml:space="preserve">are </w:t>
      </w:r>
      <w:r w:rsidR="00E12DA0" w:rsidRPr="004F3282">
        <w:rPr>
          <w:rFonts w:cs="Times New Roman"/>
          <w:color w:val="000000"/>
          <w:szCs w:val="24"/>
        </w:rPr>
        <w:t>CEFTA Secretariat</w:t>
      </w:r>
      <w:r w:rsidR="004653E4" w:rsidRPr="004F3282">
        <w:rPr>
          <w:rFonts w:cs="Times New Roman"/>
          <w:color w:val="000000"/>
          <w:szCs w:val="24"/>
        </w:rPr>
        <w:t xml:space="preserve"> and</w:t>
      </w:r>
      <w:r w:rsidR="00947479" w:rsidRPr="004F3282">
        <w:rPr>
          <w:rFonts w:cs="Times New Roman"/>
          <w:color w:val="000000"/>
          <w:szCs w:val="24"/>
        </w:rPr>
        <w:t xml:space="preserve"> representatives of </w:t>
      </w:r>
      <w:r w:rsidRPr="004F3282">
        <w:rPr>
          <w:rFonts w:cs="Times New Roman"/>
          <w:color w:val="000000"/>
          <w:szCs w:val="24"/>
        </w:rPr>
        <w:t xml:space="preserve">CEFTA </w:t>
      </w:r>
      <w:r w:rsidR="00947479" w:rsidRPr="004F3282">
        <w:rPr>
          <w:rFonts w:cs="Times New Roman"/>
          <w:color w:val="000000"/>
          <w:szCs w:val="24"/>
        </w:rPr>
        <w:t>parties</w:t>
      </w:r>
      <w:r w:rsidR="00BE2ADF" w:rsidRPr="004F3282">
        <w:rPr>
          <w:rFonts w:cs="Times New Roman"/>
          <w:color w:val="000000"/>
          <w:szCs w:val="24"/>
        </w:rPr>
        <w:t xml:space="preserve"> in the following areas: Ministries of Trade and Economy, customs administrations, </w:t>
      </w:r>
      <w:r w:rsidR="00BE2ADF" w:rsidRPr="004F3282">
        <w:rPr>
          <w:rFonts w:cs="Times New Roman"/>
          <w:color w:val="000000"/>
          <w:szCs w:val="24"/>
        </w:rPr>
        <w:lastRenderedPageBreak/>
        <w:t xml:space="preserve">veterinary authorities, sanitary and phytosanitary authorities, public health administrations, quality infrastructure </w:t>
      </w:r>
      <w:r w:rsidR="00EA50C1" w:rsidRPr="004F3282">
        <w:rPr>
          <w:rFonts w:cs="Times New Roman"/>
          <w:color w:val="000000"/>
          <w:szCs w:val="24"/>
        </w:rPr>
        <w:t>institutions</w:t>
      </w:r>
      <w:r w:rsidR="00302FD1" w:rsidRPr="004F3282">
        <w:rPr>
          <w:rFonts w:cs="Times New Roman"/>
          <w:color w:val="000000"/>
          <w:szCs w:val="24"/>
        </w:rPr>
        <w:t xml:space="preserve">. </w:t>
      </w:r>
      <w:r w:rsidR="00BE2ADF" w:rsidRPr="004F3282">
        <w:rPr>
          <w:rFonts w:cs="Times New Roman"/>
          <w:color w:val="000000"/>
          <w:szCs w:val="24"/>
        </w:rPr>
        <w:t xml:space="preserve">The final beneficiaries of this action are citizens and businesses in CEFTA region. </w:t>
      </w:r>
    </w:p>
    <w:p w14:paraId="798E2E36" w14:textId="77777777" w:rsidR="001E1ACA" w:rsidRPr="004F3282" w:rsidRDefault="001E1ACA" w:rsidP="001E1ACA">
      <w:pPr>
        <w:autoSpaceDE w:val="0"/>
        <w:autoSpaceDN w:val="0"/>
        <w:adjustRightInd w:val="0"/>
        <w:rPr>
          <w:rFonts w:cs="Times New Roman"/>
          <w:color w:val="000000"/>
          <w:szCs w:val="24"/>
        </w:rPr>
      </w:pPr>
    </w:p>
    <w:p w14:paraId="5A0EDA70" w14:textId="165B8B3D" w:rsidR="001D112E" w:rsidRPr="004F3282" w:rsidRDefault="00C674A6" w:rsidP="001D112E">
      <w:pPr>
        <w:pStyle w:val="ListParagraph"/>
        <w:numPr>
          <w:ilvl w:val="0"/>
          <w:numId w:val="114"/>
        </w:numPr>
        <w:autoSpaceDE w:val="0"/>
        <w:autoSpaceDN w:val="0"/>
        <w:adjustRightInd w:val="0"/>
        <w:rPr>
          <w:rFonts w:cs="Times New Roman"/>
          <w:color w:val="000000"/>
          <w:szCs w:val="24"/>
        </w:rPr>
      </w:pPr>
      <w:r w:rsidRPr="004F3282">
        <w:rPr>
          <w:rFonts w:cs="Times New Roman"/>
          <w:color w:val="000000"/>
          <w:szCs w:val="24"/>
        </w:rPr>
        <w:t>Free movement of</w:t>
      </w:r>
      <w:r w:rsidR="002A3567" w:rsidRPr="004F3282">
        <w:rPr>
          <w:rFonts w:cs="Times New Roman"/>
          <w:color w:val="000000"/>
          <w:szCs w:val="24"/>
        </w:rPr>
        <w:t xml:space="preserve"> services</w:t>
      </w:r>
    </w:p>
    <w:p w14:paraId="379C4227" w14:textId="77777777" w:rsidR="002A3567" w:rsidRDefault="002A3567" w:rsidP="002A3567">
      <w:pPr>
        <w:autoSpaceDE w:val="0"/>
        <w:autoSpaceDN w:val="0"/>
        <w:adjustRightInd w:val="0"/>
        <w:rPr>
          <w:rFonts w:cs="Times New Roman"/>
          <w:color w:val="000000"/>
          <w:sz w:val="22"/>
        </w:rPr>
      </w:pPr>
    </w:p>
    <w:p w14:paraId="6166C66D" w14:textId="77777777" w:rsidR="002A3567" w:rsidRPr="004F3282" w:rsidRDefault="002A3567" w:rsidP="002A3567">
      <w:pPr>
        <w:autoSpaceDE w:val="0"/>
        <w:autoSpaceDN w:val="0"/>
        <w:adjustRightInd w:val="0"/>
        <w:rPr>
          <w:rFonts w:cs="Times New Roman"/>
          <w:color w:val="000000"/>
          <w:szCs w:val="24"/>
          <w:u w:val="single"/>
        </w:rPr>
      </w:pPr>
      <w:r w:rsidRPr="004F3282">
        <w:rPr>
          <w:rFonts w:cs="Times New Roman"/>
          <w:color w:val="000000"/>
          <w:szCs w:val="24"/>
          <w:u w:val="single"/>
        </w:rPr>
        <w:t>Short problem analysis</w:t>
      </w:r>
    </w:p>
    <w:p w14:paraId="3ED7295A" w14:textId="77777777" w:rsidR="002A3567" w:rsidRPr="004F3282" w:rsidRDefault="002A3567" w:rsidP="002A3567">
      <w:pPr>
        <w:autoSpaceDE w:val="0"/>
        <w:autoSpaceDN w:val="0"/>
        <w:adjustRightInd w:val="0"/>
        <w:rPr>
          <w:rFonts w:cs="Times New Roman"/>
          <w:color w:val="000000"/>
          <w:szCs w:val="24"/>
        </w:rPr>
      </w:pPr>
    </w:p>
    <w:p w14:paraId="2F18EFBA" w14:textId="1AA71C62" w:rsidR="00C674A6" w:rsidRPr="004F3282" w:rsidRDefault="00C674A6" w:rsidP="00C674A6">
      <w:pPr>
        <w:autoSpaceDE w:val="0"/>
        <w:autoSpaceDN w:val="0"/>
        <w:adjustRightInd w:val="0"/>
        <w:rPr>
          <w:rFonts w:cs="Times New Roman"/>
          <w:color w:val="000000"/>
          <w:szCs w:val="24"/>
        </w:rPr>
      </w:pPr>
      <w:r w:rsidRPr="004F3282">
        <w:rPr>
          <w:rFonts w:cs="Times New Roman"/>
          <w:color w:val="000000"/>
          <w:szCs w:val="24"/>
        </w:rPr>
        <w:t xml:space="preserve">CEFTA Additional Protocol 6 has brought significant liberalization in the </w:t>
      </w:r>
      <w:proofErr w:type="gramStart"/>
      <w:r w:rsidRPr="004F3282">
        <w:rPr>
          <w:rFonts w:cs="Times New Roman"/>
          <w:color w:val="000000"/>
          <w:szCs w:val="24"/>
        </w:rPr>
        <w:t>region</w:t>
      </w:r>
      <w:proofErr w:type="gramEnd"/>
      <w:r w:rsidRPr="004F3282">
        <w:rPr>
          <w:rFonts w:cs="Times New Roman"/>
          <w:color w:val="000000"/>
          <w:szCs w:val="24"/>
        </w:rPr>
        <w:t xml:space="preserve"> but market access commitments are often suboptimal. This is the case for financial services and insurance. To date there is also little liberalization of mode 1 (e.g. cross-border) </w:t>
      </w:r>
      <w:proofErr w:type="gramStart"/>
      <w:r w:rsidRPr="004F3282">
        <w:rPr>
          <w:rFonts w:cs="Times New Roman"/>
          <w:color w:val="000000"/>
          <w:szCs w:val="24"/>
        </w:rPr>
        <w:t>in the area of</w:t>
      </w:r>
      <w:proofErr w:type="gramEnd"/>
      <w:r w:rsidRPr="004F3282">
        <w:rPr>
          <w:rFonts w:cs="Times New Roman"/>
          <w:color w:val="000000"/>
          <w:szCs w:val="24"/>
        </w:rPr>
        <w:t xml:space="preserve"> transport. Commitments in professional services such as legal and accounting and auditing vary significantly. CEFTA parties have also excluded audio-visual services from regional negotiations. </w:t>
      </w:r>
    </w:p>
    <w:p w14:paraId="6AB1855D" w14:textId="77777777" w:rsidR="00C674A6" w:rsidRPr="004F3282" w:rsidRDefault="00C674A6" w:rsidP="00C674A6">
      <w:pPr>
        <w:autoSpaceDE w:val="0"/>
        <w:autoSpaceDN w:val="0"/>
        <w:adjustRightInd w:val="0"/>
        <w:rPr>
          <w:rFonts w:cs="Times New Roman"/>
          <w:color w:val="000000"/>
          <w:szCs w:val="24"/>
        </w:rPr>
      </w:pPr>
    </w:p>
    <w:p w14:paraId="5F5A2ECC" w14:textId="4DF8ED33" w:rsidR="002A3567" w:rsidRPr="004F3282" w:rsidRDefault="00C674A6" w:rsidP="002A3567">
      <w:pPr>
        <w:autoSpaceDE w:val="0"/>
        <w:autoSpaceDN w:val="0"/>
        <w:adjustRightInd w:val="0"/>
        <w:rPr>
          <w:rFonts w:cs="Times New Roman"/>
          <w:color w:val="000000"/>
          <w:szCs w:val="24"/>
        </w:rPr>
      </w:pPr>
      <w:r w:rsidRPr="004F3282">
        <w:rPr>
          <w:rFonts w:cs="Times New Roman"/>
          <w:color w:val="000000"/>
          <w:szCs w:val="24"/>
        </w:rPr>
        <w:t xml:space="preserve">The notification mechanism for legal changes affecting trade in services is currently insufficient in the region. </w:t>
      </w:r>
      <w:r w:rsidR="00C709FF" w:rsidRPr="004F3282">
        <w:rPr>
          <w:rFonts w:cs="Times New Roman"/>
          <w:color w:val="000000"/>
          <w:szCs w:val="24"/>
        </w:rPr>
        <w:t xml:space="preserve">CEFTA parties are expected to </w:t>
      </w:r>
      <w:r w:rsidR="00053B20" w:rsidRPr="004F3282">
        <w:rPr>
          <w:rFonts w:cs="Times New Roman"/>
          <w:color w:val="000000"/>
          <w:szCs w:val="24"/>
        </w:rPr>
        <w:t>share information more proactively through the Services Regulatory Database hosted by CE</w:t>
      </w:r>
      <w:r w:rsidR="00592585" w:rsidRPr="004F3282">
        <w:rPr>
          <w:rFonts w:cs="Times New Roman"/>
          <w:color w:val="000000"/>
          <w:szCs w:val="24"/>
        </w:rPr>
        <w:t xml:space="preserve">FTA Secretariat. </w:t>
      </w:r>
      <w:r w:rsidRPr="004F3282">
        <w:rPr>
          <w:rFonts w:cs="Times New Roman"/>
          <w:color w:val="000000"/>
          <w:szCs w:val="24"/>
        </w:rPr>
        <w:t xml:space="preserve">The </w:t>
      </w:r>
      <w:r w:rsidR="008F09F4" w:rsidRPr="004F3282">
        <w:rPr>
          <w:rFonts w:cs="Times New Roman"/>
          <w:color w:val="000000"/>
          <w:szCs w:val="24"/>
        </w:rPr>
        <w:t>monitoring</w:t>
      </w:r>
      <w:r w:rsidRPr="004F3282">
        <w:rPr>
          <w:rFonts w:cs="Times New Roman"/>
          <w:color w:val="000000"/>
          <w:szCs w:val="24"/>
        </w:rPr>
        <w:t xml:space="preserve"> of trade in services restrictiveness is also limited</w:t>
      </w:r>
      <w:r w:rsidR="008F09F4" w:rsidRPr="004F3282">
        <w:rPr>
          <w:rFonts w:cs="Times New Roman"/>
          <w:color w:val="000000"/>
          <w:szCs w:val="24"/>
        </w:rPr>
        <w:t xml:space="preserve"> in the trade area and relies on external support (i.e. lack of ownership)</w:t>
      </w:r>
      <w:r w:rsidRPr="004F3282">
        <w:rPr>
          <w:rFonts w:cs="Times New Roman"/>
          <w:color w:val="000000"/>
          <w:szCs w:val="24"/>
        </w:rPr>
        <w:t xml:space="preserve">. </w:t>
      </w:r>
      <w:proofErr w:type="gramStart"/>
      <w:r w:rsidR="00592585" w:rsidRPr="004F3282">
        <w:rPr>
          <w:rFonts w:cs="Times New Roman"/>
          <w:color w:val="000000"/>
          <w:szCs w:val="24"/>
        </w:rPr>
        <w:t>Last but not least</w:t>
      </w:r>
      <w:proofErr w:type="gramEnd"/>
      <w:r w:rsidR="00592585" w:rsidRPr="004F3282">
        <w:rPr>
          <w:rFonts w:cs="Times New Roman"/>
          <w:color w:val="000000"/>
          <w:szCs w:val="24"/>
        </w:rPr>
        <w:t xml:space="preserve">, </w:t>
      </w:r>
      <w:r w:rsidR="00402BA0" w:rsidRPr="004F3282">
        <w:rPr>
          <w:rFonts w:cs="Times New Roman"/>
          <w:color w:val="000000"/>
          <w:szCs w:val="24"/>
        </w:rPr>
        <w:t xml:space="preserve">coordinated </w:t>
      </w:r>
      <w:r w:rsidR="0006758F" w:rsidRPr="004F3282">
        <w:rPr>
          <w:rFonts w:cs="Times New Roman"/>
          <w:color w:val="000000"/>
          <w:szCs w:val="24"/>
        </w:rPr>
        <w:t>leg</w:t>
      </w:r>
      <w:r w:rsidR="00402BA0" w:rsidRPr="004F3282">
        <w:rPr>
          <w:rFonts w:cs="Times New Roman"/>
          <w:color w:val="000000"/>
          <w:szCs w:val="24"/>
        </w:rPr>
        <w:t>al</w:t>
      </w:r>
      <w:r w:rsidR="0006758F" w:rsidRPr="004F3282">
        <w:rPr>
          <w:rFonts w:cs="Times New Roman"/>
          <w:color w:val="000000"/>
          <w:szCs w:val="24"/>
        </w:rPr>
        <w:t xml:space="preserve"> reforms are also </w:t>
      </w:r>
      <w:r w:rsidR="00E521D4" w:rsidRPr="004F3282">
        <w:rPr>
          <w:rFonts w:cs="Times New Roman"/>
          <w:color w:val="000000"/>
          <w:szCs w:val="24"/>
        </w:rPr>
        <w:t>ne</w:t>
      </w:r>
      <w:r w:rsidR="00402BA0" w:rsidRPr="004F3282">
        <w:rPr>
          <w:rFonts w:cs="Times New Roman"/>
          <w:color w:val="000000"/>
          <w:szCs w:val="24"/>
        </w:rPr>
        <w:t xml:space="preserve">cessary in order to </w:t>
      </w:r>
      <w:r w:rsidR="00325A3D" w:rsidRPr="004F3282">
        <w:rPr>
          <w:rFonts w:cs="Times New Roman"/>
          <w:color w:val="000000"/>
          <w:szCs w:val="24"/>
        </w:rPr>
        <w:t xml:space="preserve">align with relevant parts of the EU </w:t>
      </w:r>
      <w:r w:rsidR="00325A3D" w:rsidRPr="004F3282">
        <w:rPr>
          <w:rFonts w:cs="Times New Roman"/>
          <w:i/>
          <w:color w:val="000000"/>
          <w:szCs w:val="24"/>
        </w:rPr>
        <w:t>acquis</w:t>
      </w:r>
      <w:r w:rsidR="00325A3D" w:rsidRPr="004F3282">
        <w:rPr>
          <w:rFonts w:cs="Times New Roman"/>
          <w:color w:val="000000"/>
          <w:szCs w:val="24"/>
        </w:rPr>
        <w:t>.</w:t>
      </w:r>
      <w:r w:rsidR="00402BA0" w:rsidRPr="004F3282">
        <w:rPr>
          <w:rFonts w:cs="Times New Roman"/>
          <w:color w:val="000000"/>
          <w:szCs w:val="24"/>
        </w:rPr>
        <w:t xml:space="preserve"> </w:t>
      </w:r>
      <w:r w:rsidRPr="004F3282">
        <w:rPr>
          <w:rFonts w:cs="Times New Roman"/>
          <w:color w:val="000000"/>
          <w:szCs w:val="24"/>
        </w:rPr>
        <w:t xml:space="preserve">  </w:t>
      </w:r>
    </w:p>
    <w:p w14:paraId="21C21E6E" w14:textId="77777777" w:rsidR="002A3567" w:rsidRPr="004F3282" w:rsidRDefault="002A3567" w:rsidP="002A3567">
      <w:pPr>
        <w:autoSpaceDE w:val="0"/>
        <w:autoSpaceDN w:val="0"/>
        <w:adjustRightInd w:val="0"/>
        <w:rPr>
          <w:rFonts w:cs="Times New Roman"/>
          <w:color w:val="000000"/>
          <w:szCs w:val="24"/>
        </w:rPr>
      </w:pPr>
    </w:p>
    <w:p w14:paraId="6543190E" w14:textId="623B537D" w:rsidR="00CE73D1" w:rsidRPr="004F3282" w:rsidRDefault="002A3567" w:rsidP="002A3567">
      <w:pPr>
        <w:autoSpaceDE w:val="0"/>
        <w:autoSpaceDN w:val="0"/>
        <w:adjustRightInd w:val="0"/>
        <w:rPr>
          <w:rFonts w:cs="Times New Roman"/>
          <w:color w:val="000000"/>
          <w:szCs w:val="24"/>
        </w:rPr>
      </w:pPr>
      <w:r w:rsidRPr="004F3282">
        <w:rPr>
          <w:rFonts w:cs="Times New Roman"/>
          <w:color w:val="000000"/>
          <w:szCs w:val="24"/>
          <w:u w:val="single"/>
        </w:rPr>
        <w:t xml:space="preserve">Identification of main stakeholders and corresponding institutional and/or organisational issues (mandates, potential roles, and capacities) to be covered by the </w:t>
      </w:r>
      <w:proofErr w:type="gramStart"/>
      <w:r w:rsidRPr="004F3282">
        <w:rPr>
          <w:rFonts w:cs="Times New Roman"/>
          <w:color w:val="000000"/>
          <w:szCs w:val="24"/>
          <w:u w:val="single"/>
        </w:rPr>
        <w:t>action</w:t>
      </w:r>
      <w:proofErr w:type="gramEnd"/>
    </w:p>
    <w:p w14:paraId="131F1B80" w14:textId="77777777" w:rsidR="00325A3D" w:rsidRPr="004F3282" w:rsidRDefault="00325A3D" w:rsidP="002A3567">
      <w:pPr>
        <w:autoSpaceDE w:val="0"/>
        <w:autoSpaceDN w:val="0"/>
        <w:adjustRightInd w:val="0"/>
        <w:rPr>
          <w:rFonts w:cs="Times New Roman"/>
          <w:color w:val="000000"/>
          <w:szCs w:val="24"/>
          <w:u w:val="single"/>
        </w:rPr>
      </w:pPr>
    </w:p>
    <w:p w14:paraId="0FE6E282" w14:textId="04434A94" w:rsidR="002A3567" w:rsidRPr="004F3282" w:rsidRDefault="00325A3D" w:rsidP="002A3567">
      <w:pPr>
        <w:autoSpaceDE w:val="0"/>
        <w:autoSpaceDN w:val="0"/>
        <w:adjustRightInd w:val="0"/>
        <w:rPr>
          <w:rFonts w:cs="Times New Roman"/>
          <w:color w:val="000000"/>
          <w:szCs w:val="24"/>
        </w:rPr>
      </w:pPr>
      <w:r w:rsidRPr="004F3282">
        <w:rPr>
          <w:rFonts w:cs="Times New Roman"/>
          <w:color w:val="000000"/>
          <w:szCs w:val="24"/>
        </w:rPr>
        <w:t xml:space="preserve">The main stakeholders concerned for the resolution of this problem are CEFTA Secretariat and representatives of CEFTA parties in the following areas: Ministries </w:t>
      </w:r>
      <w:r w:rsidR="00D44597" w:rsidRPr="004F3282">
        <w:rPr>
          <w:rFonts w:cs="Times New Roman"/>
          <w:color w:val="000000"/>
          <w:szCs w:val="24"/>
        </w:rPr>
        <w:t>in charge of services sectors</w:t>
      </w:r>
      <w:r w:rsidRPr="004F3282">
        <w:rPr>
          <w:rFonts w:cs="Times New Roman"/>
          <w:color w:val="000000"/>
          <w:szCs w:val="24"/>
        </w:rPr>
        <w:t xml:space="preserve">, </w:t>
      </w:r>
      <w:r w:rsidR="00E24460" w:rsidRPr="004F3282">
        <w:rPr>
          <w:rFonts w:cs="Times New Roman"/>
          <w:color w:val="000000"/>
          <w:szCs w:val="24"/>
        </w:rPr>
        <w:t>regulatory agencies</w:t>
      </w:r>
      <w:r w:rsidR="00CC35A6" w:rsidRPr="004F3282">
        <w:rPr>
          <w:rFonts w:cs="Times New Roman"/>
          <w:color w:val="000000"/>
          <w:szCs w:val="24"/>
        </w:rPr>
        <w:t>.</w:t>
      </w:r>
      <w:r w:rsidRPr="004F3282">
        <w:rPr>
          <w:rFonts w:cs="Times New Roman"/>
          <w:color w:val="000000"/>
          <w:szCs w:val="24"/>
        </w:rPr>
        <w:t xml:space="preserve"> The final beneficiaries of this action are citizens and businesses in CEFTA region. </w:t>
      </w:r>
    </w:p>
    <w:p w14:paraId="5F0CE95E" w14:textId="77777777" w:rsidR="001D112E" w:rsidRPr="004F3282" w:rsidRDefault="001D112E" w:rsidP="001E1ACA">
      <w:pPr>
        <w:autoSpaceDE w:val="0"/>
        <w:autoSpaceDN w:val="0"/>
        <w:adjustRightInd w:val="0"/>
        <w:rPr>
          <w:rFonts w:cs="Times New Roman"/>
          <w:color w:val="000000"/>
          <w:szCs w:val="24"/>
        </w:rPr>
      </w:pPr>
    </w:p>
    <w:p w14:paraId="698EB9A4" w14:textId="2490C4E4" w:rsidR="00741E28" w:rsidRPr="004F3282" w:rsidRDefault="0071083E">
      <w:pPr>
        <w:pStyle w:val="ListParagraph"/>
        <w:numPr>
          <w:ilvl w:val="0"/>
          <w:numId w:val="114"/>
        </w:numPr>
        <w:autoSpaceDE w:val="0"/>
        <w:autoSpaceDN w:val="0"/>
        <w:adjustRightInd w:val="0"/>
        <w:rPr>
          <w:rFonts w:cs="Times New Roman"/>
          <w:color w:val="000000"/>
          <w:szCs w:val="24"/>
        </w:rPr>
      </w:pPr>
      <w:r w:rsidRPr="004F3282">
        <w:rPr>
          <w:rFonts w:cs="Times New Roman"/>
          <w:color w:val="000000" w:themeColor="text1"/>
          <w:szCs w:val="24"/>
        </w:rPr>
        <w:t>Horizontal trade measures</w:t>
      </w:r>
    </w:p>
    <w:p w14:paraId="236C9DD1" w14:textId="77777777" w:rsidR="00B03C1C" w:rsidRPr="004F3282" w:rsidRDefault="00B03C1C" w:rsidP="00B03C1C">
      <w:pPr>
        <w:autoSpaceDE w:val="0"/>
        <w:autoSpaceDN w:val="0"/>
        <w:adjustRightInd w:val="0"/>
        <w:rPr>
          <w:rFonts w:cs="Times New Roman"/>
          <w:color w:val="000000"/>
          <w:szCs w:val="24"/>
        </w:rPr>
      </w:pPr>
    </w:p>
    <w:p w14:paraId="34EDA996" w14:textId="42FD38D4" w:rsidR="00B03C1C" w:rsidRPr="004F3282" w:rsidRDefault="00B03C1C" w:rsidP="00B03C1C">
      <w:pPr>
        <w:autoSpaceDE w:val="0"/>
        <w:autoSpaceDN w:val="0"/>
        <w:adjustRightInd w:val="0"/>
        <w:rPr>
          <w:rFonts w:cs="Times New Roman"/>
          <w:color w:val="000000"/>
          <w:szCs w:val="24"/>
          <w:u w:val="single"/>
        </w:rPr>
      </w:pPr>
      <w:r w:rsidRPr="004F3282">
        <w:rPr>
          <w:rFonts w:cs="Times New Roman"/>
          <w:color w:val="000000"/>
          <w:szCs w:val="24"/>
          <w:u w:val="single"/>
        </w:rPr>
        <w:t>Short problem analysis</w:t>
      </w:r>
    </w:p>
    <w:p w14:paraId="3A09DD7D" w14:textId="77777777" w:rsidR="00B03C1C" w:rsidRPr="004F3282" w:rsidRDefault="00B03C1C" w:rsidP="00B03C1C">
      <w:pPr>
        <w:autoSpaceDE w:val="0"/>
        <w:autoSpaceDN w:val="0"/>
        <w:adjustRightInd w:val="0"/>
        <w:rPr>
          <w:rFonts w:cs="Times New Roman"/>
          <w:color w:val="000000"/>
          <w:szCs w:val="24"/>
        </w:rPr>
      </w:pPr>
    </w:p>
    <w:p w14:paraId="1BB2D29E" w14:textId="77777777" w:rsidR="00ED6258" w:rsidRPr="004F3282" w:rsidRDefault="00ED6258" w:rsidP="00ED6258">
      <w:pPr>
        <w:rPr>
          <w:rFonts w:cs="Times New Roman"/>
          <w:color w:val="000000"/>
          <w:szCs w:val="24"/>
        </w:rPr>
      </w:pPr>
      <w:r w:rsidRPr="004F3282">
        <w:rPr>
          <w:rFonts w:cs="Times New Roman"/>
          <w:color w:val="000000"/>
          <w:szCs w:val="24"/>
        </w:rPr>
        <w:t xml:space="preserve">Enhancing the effectiveness of paperless customs and inspections operations, particularly </w:t>
      </w:r>
      <w:proofErr w:type="gramStart"/>
      <w:r w:rsidRPr="004F3282">
        <w:rPr>
          <w:rFonts w:cs="Times New Roman"/>
          <w:color w:val="000000"/>
          <w:szCs w:val="24"/>
        </w:rPr>
        <w:t>in the area of</w:t>
      </w:r>
      <w:proofErr w:type="gramEnd"/>
      <w:r w:rsidRPr="004F3282">
        <w:rPr>
          <w:rFonts w:cs="Times New Roman"/>
          <w:color w:val="000000"/>
          <w:szCs w:val="24"/>
        </w:rPr>
        <w:t xml:space="preserve"> controls is another important requirement to improve trade flows in Western Balkans. Currently, the digital transmission of information is not systematic, some government agencies still require paper documents and requirements are not always clear for business operators. The cooperation between government agencies is also limited. This can lead to additional delays during customs clearance. Further improving digital data exchange could contribute decisively to improve trade within CEFTA while generating environmental benefits (i.e. less trucks in queues at the borders). Change of practices within government agencies involved in customs clearance, together with reskilling programmes, could promote gender-balance within several institutions. Digitalisation can also reduce the risk of fraud and corruption at border posts and promote peace in the region through more integrated and inter-related economies and societies.  </w:t>
      </w:r>
    </w:p>
    <w:p w14:paraId="095D2DDC" w14:textId="77777777" w:rsidR="00ED6258" w:rsidRPr="004F3282" w:rsidRDefault="00ED6258" w:rsidP="00B03C1C">
      <w:pPr>
        <w:autoSpaceDE w:val="0"/>
        <w:autoSpaceDN w:val="0"/>
        <w:adjustRightInd w:val="0"/>
        <w:rPr>
          <w:rFonts w:cs="Times New Roman"/>
          <w:color w:val="000000"/>
          <w:szCs w:val="24"/>
        </w:rPr>
      </w:pPr>
    </w:p>
    <w:p w14:paraId="0353F960" w14:textId="0F51023C" w:rsidR="00FB24FA" w:rsidRPr="004F3282" w:rsidRDefault="0087147A" w:rsidP="00B03C1C">
      <w:pPr>
        <w:autoSpaceDE w:val="0"/>
        <w:autoSpaceDN w:val="0"/>
        <w:adjustRightInd w:val="0"/>
        <w:rPr>
          <w:rFonts w:cs="Times New Roman"/>
          <w:color w:val="000000"/>
          <w:szCs w:val="24"/>
        </w:rPr>
      </w:pPr>
      <w:r w:rsidRPr="004F3282">
        <w:rPr>
          <w:rFonts w:cs="Times New Roman"/>
          <w:color w:val="000000"/>
          <w:szCs w:val="24"/>
        </w:rPr>
        <w:t xml:space="preserve">While </w:t>
      </w:r>
      <w:r w:rsidR="00E969F4" w:rsidRPr="004F3282">
        <w:rPr>
          <w:rFonts w:cs="Times New Roman"/>
          <w:color w:val="000000"/>
          <w:szCs w:val="24"/>
        </w:rPr>
        <w:t xml:space="preserve">key measures derived from CEFTA trade agreements </w:t>
      </w:r>
      <w:r w:rsidR="00FC5D07" w:rsidRPr="004F3282">
        <w:rPr>
          <w:rFonts w:cs="Times New Roman"/>
          <w:color w:val="000000"/>
          <w:szCs w:val="24"/>
        </w:rPr>
        <w:t>are in place to facilitate the movement of goods and services, various trade related aspects require attention to impr</w:t>
      </w:r>
      <w:r w:rsidR="004513AC" w:rsidRPr="004F3282">
        <w:rPr>
          <w:rFonts w:cs="Times New Roman"/>
          <w:color w:val="000000"/>
          <w:szCs w:val="24"/>
        </w:rPr>
        <w:t>ove performance. In September 2024</w:t>
      </w:r>
      <w:r w:rsidR="009230FB" w:rsidRPr="004F3282">
        <w:rPr>
          <w:rFonts w:cs="Times New Roman"/>
          <w:color w:val="000000"/>
          <w:szCs w:val="24"/>
        </w:rPr>
        <w:t>, the average waiting time for the clearance of goods at border crossing points was a</w:t>
      </w:r>
      <w:r w:rsidR="00896966" w:rsidRPr="004F3282">
        <w:rPr>
          <w:rFonts w:cs="Times New Roman"/>
          <w:color w:val="000000"/>
          <w:szCs w:val="24"/>
        </w:rPr>
        <w:t>bout</w:t>
      </w:r>
      <w:r w:rsidR="009230FB" w:rsidRPr="004F3282">
        <w:rPr>
          <w:rFonts w:cs="Times New Roman"/>
          <w:color w:val="000000"/>
          <w:szCs w:val="24"/>
        </w:rPr>
        <w:t xml:space="preserve"> 90 minutes</w:t>
      </w:r>
      <w:r w:rsidR="008922CA" w:rsidRPr="004F3282">
        <w:rPr>
          <w:rFonts w:cs="Times New Roman"/>
          <w:color w:val="000000"/>
          <w:szCs w:val="24"/>
        </w:rPr>
        <w:t xml:space="preserve"> (i.e. from completion of exit procedure to </w:t>
      </w:r>
      <w:r w:rsidR="009D4C1D" w:rsidRPr="004F3282">
        <w:rPr>
          <w:rFonts w:cs="Times New Roman"/>
          <w:color w:val="000000"/>
          <w:szCs w:val="24"/>
        </w:rPr>
        <w:t>acceptance of customs declaration at the entry point)</w:t>
      </w:r>
      <w:r w:rsidR="009230FB" w:rsidRPr="004F3282">
        <w:rPr>
          <w:rFonts w:cs="Times New Roman"/>
          <w:color w:val="000000"/>
          <w:szCs w:val="24"/>
        </w:rPr>
        <w:t xml:space="preserve">. </w:t>
      </w:r>
      <w:r w:rsidR="0068123B" w:rsidRPr="004F3282">
        <w:rPr>
          <w:rFonts w:cs="Times New Roman"/>
          <w:color w:val="000000"/>
          <w:szCs w:val="24"/>
        </w:rPr>
        <w:t xml:space="preserve">This </w:t>
      </w:r>
      <w:r w:rsidR="009D4C1D" w:rsidRPr="004F3282">
        <w:rPr>
          <w:rFonts w:cs="Times New Roman"/>
          <w:color w:val="000000"/>
          <w:szCs w:val="24"/>
        </w:rPr>
        <w:t>performance has been</w:t>
      </w:r>
      <w:r w:rsidR="004464C9" w:rsidRPr="004F3282">
        <w:rPr>
          <w:rFonts w:cs="Times New Roman"/>
          <w:color w:val="000000"/>
          <w:szCs w:val="24"/>
        </w:rPr>
        <w:t xml:space="preserve"> fluctuat</w:t>
      </w:r>
      <w:r w:rsidR="009D4C1D" w:rsidRPr="004F3282">
        <w:rPr>
          <w:rFonts w:cs="Times New Roman"/>
          <w:color w:val="000000"/>
          <w:szCs w:val="24"/>
        </w:rPr>
        <w:t>ing recently</w:t>
      </w:r>
      <w:r w:rsidR="004464C9" w:rsidRPr="004F3282">
        <w:rPr>
          <w:rFonts w:cs="Times New Roman"/>
          <w:color w:val="000000"/>
          <w:szCs w:val="24"/>
        </w:rPr>
        <w:t xml:space="preserve"> and </w:t>
      </w:r>
      <w:r w:rsidR="0085238C" w:rsidRPr="004F3282">
        <w:rPr>
          <w:rFonts w:cs="Times New Roman"/>
          <w:color w:val="000000"/>
          <w:szCs w:val="24"/>
        </w:rPr>
        <w:t>has not sufficiently decreased given th</w:t>
      </w:r>
      <w:r w:rsidR="00D77C12" w:rsidRPr="004F3282">
        <w:rPr>
          <w:rFonts w:cs="Times New Roman"/>
          <w:color w:val="000000"/>
          <w:szCs w:val="24"/>
        </w:rPr>
        <w:t xml:space="preserve">at </w:t>
      </w:r>
      <w:r w:rsidR="002C1BED" w:rsidRPr="004F3282">
        <w:rPr>
          <w:rFonts w:cs="Times New Roman"/>
          <w:color w:val="000000"/>
          <w:szCs w:val="24"/>
        </w:rPr>
        <w:t xml:space="preserve">current level of liberalisation in CEFTA. </w:t>
      </w:r>
      <w:r w:rsidR="00520C7A" w:rsidRPr="004F3282">
        <w:rPr>
          <w:rFonts w:cs="Times New Roman"/>
          <w:color w:val="000000"/>
          <w:szCs w:val="24"/>
        </w:rPr>
        <w:t xml:space="preserve">This calls for </w:t>
      </w:r>
      <w:r w:rsidR="00A33748" w:rsidRPr="004F3282">
        <w:rPr>
          <w:rFonts w:cs="Times New Roman"/>
          <w:color w:val="000000"/>
          <w:szCs w:val="24"/>
        </w:rPr>
        <w:t xml:space="preserve">specific trade related measures to be addressed, such as </w:t>
      </w:r>
      <w:r w:rsidR="008C20E6" w:rsidRPr="004F3282">
        <w:rPr>
          <w:rFonts w:cs="Times New Roman"/>
          <w:color w:val="000000"/>
          <w:szCs w:val="24"/>
        </w:rPr>
        <w:t xml:space="preserve">digitalisation and cooperation between customs and other governmental agencies involved in the clearance of goods, </w:t>
      </w:r>
      <w:r w:rsidR="00404D61" w:rsidRPr="004F3282">
        <w:rPr>
          <w:rFonts w:cs="Times New Roman"/>
          <w:color w:val="000000"/>
          <w:szCs w:val="24"/>
        </w:rPr>
        <w:t xml:space="preserve">harmonisation of </w:t>
      </w:r>
      <w:r w:rsidR="007F5383" w:rsidRPr="004F3282">
        <w:rPr>
          <w:rFonts w:cs="Times New Roman"/>
          <w:color w:val="000000"/>
          <w:szCs w:val="24"/>
        </w:rPr>
        <w:t xml:space="preserve">practices, </w:t>
      </w:r>
      <w:r w:rsidR="00E84C13" w:rsidRPr="004F3282">
        <w:rPr>
          <w:rFonts w:cs="Times New Roman"/>
          <w:color w:val="000000"/>
          <w:szCs w:val="24"/>
        </w:rPr>
        <w:t xml:space="preserve">alignment of legal and policy frameworks in relation to intellectual property rights </w:t>
      </w:r>
      <w:r w:rsidR="00BA3A89" w:rsidRPr="004F3282">
        <w:rPr>
          <w:rFonts w:cs="Times New Roman"/>
          <w:color w:val="000000"/>
          <w:szCs w:val="24"/>
        </w:rPr>
        <w:t xml:space="preserve">and </w:t>
      </w:r>
      <w:r w:rsidR="00AB1DA7" w:rsidRPr="004F3282">
        <w:rPr>
          <w:rFonts w:cs="Times New Roman"/>
          <w:color w:val="000000"/>
          <w:szCs w:val="24"/>
        </w:rPr>
        <w:t xml:space="preserve">setting up an efficient dispute settlement mechanism. </w:t>
      </w:r>
      <w:r w:rsidR="002D4B90" w:rsidRPr="004F3282">
        <w:rPr>
          <w:rFonts w:cs="Times New Roman"/>
          <w:color w:val="000000"/>
          <w:szCs w:val="24"/>
        </w:rPr>
        <w:t xml:space="preserve"> </w:t>
      </w:r>
    </w:p>
    <w:p w14:paraId="520105AB" w14:textId="77777777" w:rsidR="00C17786" w:rsidRPr="004F3282" w:rsidRDefault="00C17786" w:rsidP="00B03C1C">
      <w:pPr>
        <w:autoSpaceDE w:val="0"/>
        <w:autoSpaceDN w:val="0"/>
        <w:adjustRightInd w:val="0"/>
        <w:rPr>
          <w:rFonts w:cs="Times New Roman"/>
          <w:color w:val="000000"/>
          <w:szCs w:val="24"/>
        </w:rPr>
      </w:pPr>
    </w:p>
    <w:p w14:paraId="65FEB1A4" w14:textId="6143AB9A" w:rsidR="00B03C1C" w:rsidRPr="004F3282" w:rsidRDefault="00B03C1C" w:rsidP="00B03C1C">
      <w:pPr>
        <w:rPr>
          <w:rFonts w:cs="Times New Roman"/>
          <w:color w:val="000000"/>
          <w:szCs w:val="24"/>
          <w:u w:val="single"/>
        </w:rPr>
      </w:pPr>
      <w:r w:rsidRPr="004F3282">
        <w:rPr>
          <w:rFonts w:cs="Times New Roman"/>
          <w:color w:val="000000"/>
          <w:szCs w:val="24"/>
          <w:u w:val="single"/>
        </w:rPr>
        <w:t xml:space="preserve">Identification of main stakeholders and corresponding institutional and/or organisational issues (mandates, potential roles, and capacities) to be covered by the </w:t>
      </w:r>
      <w:proofErr w:type="gramStart"/>
      <w:r w:rsidRPr="004F3282">
        <w:rPr>
          <w:rFonts w:cs="Times New Roman"/>
          <w:color w:val="000000"/>
          <w:szCs w:val="24"/>
          <w:u w:val="single"/>
        </w:rPr>
        <w:t>action</w:t>
      </w:r>
      <w:proofErr w:type="gramEnd"/>
    </w:p>
    <w:p w14:paraId="4C35E371" w14:textId="77777777" w:rsidR="00B03C1C" w:rsidRPr="004F3282" w:rsidRDefault="00B03C1C" w:rsidP="00B03C1C">
      <w:pPr>
        <w:autoSpaceDE w:val="0"/>
        <w:autoSpaceDN w:val="0"/>
        <w:adjustRightInd w:val="0"/>
        <w:rPr>
          <w:rFonts w:cs="Times New Roman"/>
          <w:color w:val="000000"/>
          <w:szCs w:val="24"/>
        </w:rPr>
      </w:pPr>
    </w:p>
    <w:p w14:paraId="193D051F" w14:textId="21A4286F" w:rsidR="002143AF" w:rsidRPr="004F3282" w:rsidRDefault="00F93F80" w:rsidP="00B03C1C">
      <w:pPr>
        <w:autoSpaceDE w:val="0"/>
        <w:autoSpaceDN w:val="0"/>
        <w:adjustRightInd w:val="0"/>
        <w:rPr>
          <w:rFonts w:cs="Times New Roman"/>
          <w:color w:val="000000"/>
          <w:szCs w:val="24"/>
        </w:rPr>
      </w:pPr>
      <w:r w:rsidRPr="004F3282">
        <w:rPr>
          <w:rFonts w:cs="Times New Roman"/>
          <w:color w:val="000000"/>
          <w:szCs w:val="24"/>
        </w:rPr>
        <w:t xml:space="preserve">The main stakeholders concerned for the resolution of this problem are CEFTA Secretariat and representatives of CEFTA parties in the following areas: customs administrations, </w:t>
      </w:r>
      <w:r w:rsidR="00382985" w:rsidRPr="004F3282">
        <w:rPr>
          <w:rFonts w:cs="Times New Roman"/>
          <w:color w:val="000000"/>
          <w:szCs w:val="24"/>
        </w:rPr>
        <w:t>transport authorities,</w:t>
      </w:r>
      <w:r w:rsidR="00461499" w:rsidRPr="004F3282">
        <w:rPr>
          <w:rFonts w:cs="Times New Roman"/>
          <w:color w:val="000000"/>
          <w:szCs w:val="24"/>
        </w:rPr>
        <w:t xml:space="preserve"> police forces,</w:t>
      </w:r>
      <w:r w:rsidRPr="004F3282">
        <w:rPr>
          <w:rFonts w:cs="Times New Roman"/>
          <w:color w:val="000000"/>
          <w:szCs w:val="24"/>
        </w:rPr>
        <w:t xml:space="preserve"> veterinary authorities, sanitary and phytosanitary authorities, public health administrations. The final beneficiaries of this action are citizens and businesses in CEFTA region. </w:t>
      </w:r>
    </w:p>
    <w:p w14:paraId="1E6A1C44" w14:textId="77777777" w:rsidR="0071083E" w:rsidRPr="004F3282" w:rsidRDefault="0071083E" w:rsidP="00B03C1C">
      <w:pPr>
        <w:autoSpaceDE w:val="0"/>
        <w:autoSpaceDN w:val="0"/>
        <w:adjustRightInd w:val="0"/>
        <w:rPr>
          <w:rFonts w:cs="Times New Roman"/>
          <w:color w:val="000000"/>
          <w:szCs w:val="24"/>
        </w:rPr>
      </w:pPr>
    </w:p>
    <w:p w14:paraId="56A24B0E" w14:textId="64CD19C1" w:rsidR="0071083E" w:rsidRPr="004F3282" w:rsidRDefault="00C66362" w:rsidP="004A4C6A">
      <w:pPr>
        <w:pStyle w:val="ListParagraph"/>
        <w:numPr>
          <w:ilvl w:val="0"/>
          <w:numId w:val="114"/>
        </w:numPr>
        <w:autoSpaceDE w:val="0"/>
        <w:autoSpaceDN w:val="0"/>
        <w:adjustRightInd w:val="0"/>
        <w:rPr>
          <w:rFonts w:cs="Times New Roman"/>
          <w:color w:val="000000"/>
          <w:szCs w:val="24"/>
        </w:rPr>
      </w:pPr>
      <w:r w:rsidRPr="004F3282">
        <w:rPr>
          <w:rFonts w:cs="Times New Roman"/>
          <w:color w:val="000000"/>
          <w:szCs w:val="24"/>
        </w:rPr>
        <w:t>Human capital development</w:t>
      </w:r>
    </w:p>
    <w:p w14:paraId="26EF268E" w14:textId="77777777" w:rsidR="00B03C1C" w:rsidRPr="004F3282" w:rsidRDefault="00B03C1C" w:rsidP="00B03C1C">
      <w:pPr>
        <w:autoSpaceDE w:val="0"/>
        <w:autoSpaceDN w:val="0"/>
        <w:adjustRightInd w:val="0"/>
        <w:rPr>
          <w:rFonts w:cs="Times New Roman"/>
          <w:color w:val="000000"/>
          <w:szCs w:val="24"/>
        </w:rPr>
      </w:pPr>
    </w:p>
    <w:p w14:paraId="15AAC64C" w14:textId="77777777" w:rsidR="00C66362" w:rsidRPr="004F3282" w:rsidRDefault="00C66362" w:rsidP="00C66362">
      <w:pPr>
        <w:autoSpaceDE w:val="0"/>
        <w:autoSpaceDN w:val="0"/>
        <w:adjustRightInd w:val="0"/>
        <w:rPr>
          <w:rFonts w:cs="Times New Roman"/>
          <w:color w:val="000000"/>
          <w:szCs w:val="24"/>
          <w:u w:val="single"/>
        </w:rPr>
      </w:pPr>
      <w:r w:rsidRPr="004F3282">
        <w:rPr>
          <w:rFonts w:cs="Times New Roman"/>
          <w:color w:val="000000"/>
          <w:szCs w:val="24"/>
          <w:u w:val="single"/>
        </w:rPr>
        <w:t>Short problem analysis</w:t>
      </w:r>
    </w:p>
    <w:p w14:paraId="538609E1" w14:textId="77777777" w:rsidR="00C66362" w:rsidRPr="004F3282" w:rsidRDefault="00C66362" w:rsidP="00C66362">
      <w:pPr>
        <w:autoSpaceDE w:val="0"/>
        <w:autoSpaceDN w:val="0"/>
        <w:adjustRightInd w:val="0"/>
        <w:rPr>
          <w:rFonts w:cs="Times New Roman"/>
          <w:color w:val="000000"/>
          <w:szCs w:val="24"/>
        </w:rPr>
      </w:pPr>
    </w:p>
    <w:p w14:paraId="1D11E06E" w14:textId="5F1702D9" w:rsidR="00A07329" w:rsidRPr="004F3282" w:rsidRDefault="00BE6B43" w:rsidP="00BE6B43">
      <w:pPr>
        <w:autoSpaceDE w:val="0"/>
        <w:autoSpaceDN w:val="0"/>
        <w:adjustRightInd w:val="0"/>
        <w:rPr>
          <w:rFonts w:cs="Times New Roman"/>
          <w:color w:val="000000"/>
          <w:szCs w:val="24"/>
        </w:rPr>
      </w:pPr>
      <w:r w:rsidRPr="004F3282">
        <w:rPr>
          <w:rFonts w:cs="Times New Roman"/>
          <w:color w:val="000000"/>
          <w:szCs w:val="24"/>
        </w:rPr>
        <w:t xml:space="preserve">In the past decade, </w:t>
      </w:r>
      <w:r w:rsidR="00B35EF3" w:rsidRPr="004F3282">
        <w:rPr>
          <w:rFonts w:cs="Times New Roman"/>
          <w:color w:val="000000"/>
          <w:szCs w:val="24"/>
        </w:rPr>
        <w:t>t</w:t>
      </w:r>
      <w:r w:rsidRPr="004F3282">
        <w:rPr>
          <w:rFonts w:cs="Times New Roman"/>
          <w:color w:val="000000"/>
          <w:szCs w:val="24"/>
        </w:rPr>
        <w:t>he Western Balkan</w:t>
      </w:r>
      <w:r w:rsidR="00393C6E" w:rsidRPr="004F3282">
        <w:rPr>
          <w:rFonts w:cs="Times New Roman"/>
          <w:color w:val="000000"/>
          <w:szCs w:val="24"/>
        </w:rPr>
        <w:t>s</w:t>
      </w:r>
      <w:r w:rsidRPr="004F3282">
        <w:rPr>
          <w:rFonts w:cs="Times New Roman"/>
          <w:color w:val="000000"/>
          <w:szCs w:val="24"/>
        </w:rPr>
        <w:t xml:space="preserve"> have experienced an accelerating rate of emigration, with about 20% of the population now living abroad (OECD, 2022),</w:t>
      </w:r>
      <w:r w:rsidR="007B7723" w:rsidRPr="004F3282">
        <w:rPr>
          <w:rFonts w:cs="Times New Roman"/>
          <w:color w:val="000000"/>
          <w:szCs w:val="24"/>
        </w:rPr>
        <w:t xml:space="preserve"> </w:t>
      </w:r>
      <w:r w:rsidR="00393C6E" w:rsidRPr="004F3282">
        <w:rPr>
          <w:rFonts w:cs="Times New Roman"/>
          <w:color w:val="000000"/>
          <w:szCs w:val="24"/>
        </w:rPr>
        <w:t>lead</w:t>
      </w:r>
      <w:r w:rsidR="007B7723" w:rsidRPr="004F3282">
        <w:rPr>
          <w:rFonts w:cs="Times New Roman"/>
          <w:color w:val="000000"/>
          <w:szCs w:val="24"/>
        </w:rPr>
        <w:t xml:space="preserve">ing </w:t>
      </w:r>
      <w:r w:rsidR="00E7049F" w:rsidRPr="004F3282">
        <w:rPr>
          <w:rFonts w:cs="Times New Roman"/>
          <w:color w:val="000000"/>
          <w:szCs w:val="24"/>
        </w:rPr>
        <w:t>to</w:t>
      </w:r>
      <w:r w:rsidR="007B7723" w:rsidRPr="004F3282">
        <w:rPr>
          <w:rFonts w:cs="Times New Roman"/>
          <w:color w:val="000000"/>
          <w:szCs w:val="24"/>
        </w:rPr>
        <w:t xml:space="preserve"> a high rate of brain drain</w:t>
      </w:r>
      <w:r w:rsidR="00F203AE" w:rsidRPr="004F3282">
        <w:rPr>
          <w:rFonts w:cs="Times New Roman"/>
          <w:color w:val="000000"/>
          <w:szCs w:val="24"/>
        </w:rPr>
        <w:t xml:space="preserve"> and </w:t>
      </w:r>
      <w:r w:rsidR="00E7049F" w:rsidRPr="004F3282">
        <w:rPr>
          <w:rFonts w:cs="Times New Roman"/>
          <w:color w:val="000000"/>
          <w:szCs w:val="24"/>
        </w:rPr>
        <w:t xml:space="preserve">significantly </w:t>
      </w:r>
      <w:r w:rsidRPr="004F3282">
        <w:rPr>
          <w:rFonts w:cs="Times New Roman"/>
          <w:color w:val="000000"/>
          <w:szCs w:val="24"/>
        </w:rPr>
        <w:t xml:space="preserve">reducing </w:t>
      </w:r>
      <w:r w:rsidR="00E7049F" w:rsidRPr="004F3282">
        <w:rPr>
          <w:rFonts w:cs="Times New Roman"/>
          <w:color w:val="000000"/>
          <w:szCs w:val="24"/>
        </w:rPr>
        <w:t>t</w:t>
      </w:r>
      <w:r w:rsidRPr="004F3282">
        <w:rPr>
          <w:rFonts w:cs="Times New Roman"/>
          <w:color w:val="000000"/>
          <w:szCs w:val="24"/>
        </w:rPr>
        <w:t>he available labour force</w:t>
      </w:r>
      <w:r w:rsidR="00E7049F" w:rsidRPr="004F3282">
        <w:rPr>
          <w:rFonts w:cs="Times New Roman"/>
          <w:color w:val="000000"/>
          <w:szCs w:val="24"/>
        </w:rPr>
        <w:t xml:space="preserve"> -</w:t>
      </w:r>
      <w:r w:rsidRPr="004F3282">
        <w:rPr>
          <w:rFonts w:cs="Times New Roman"/>
          <w:color w:val="000000"/>
          <w:szCs w:val="24"/>
        </w:rPr>
        <w:t xml:space="preserve"> </w:t>
      </w:r>
      <w:r w:rsidR="007B7723" w:rsidRPr="004F3282">
        <w:rPr>
          <w:rFonts w:cs="Times New Roman"/>
          <w:color w:val="000000"/>
          <w:szCs w:val="24"/>
        </w:rPr>
        <w:t xml:space="preserve">especially </w:t>
      </w:r>
      <w:r w:rsidR="0049492F" w:rsidRPr="004F3282">
        <w:rPr>
          <w:rFonts w:cs="Times New Roman"/>
          <w:color w:val="000000"/>
          <w:szCs w:val="24"/>
        </w:rPr>
        <w:t>of highly educated young people and skilled worke</w:t>
      </w:r>
      <w:r w:rsidR="00B35EF3" w:rsidRPr="004F3282">
        <w:rPr>
          <w:rFonts w:cs="Times New Roman"/>
          <w:color w:val="000000"/>
          <w:szCs w:val="24"/>
        </w:rPr>
        <w:t>rs</w:t>
      </w:r>
      <w:r w:rsidR="00E7049F" w:rsidRPr="004F3282">
        <w:rPr>
          <w:rFonts w:cs="Times New Roman"/>
          <w:color w:val="000000"/>
          <w:szCs w:val="24"/>
        </w:rPr>
        <w:t xml:space="preserve"> -</w:t>
      </w:r>
      <w:r w:rsidR="00E530CF" w:rsidRPr="004F3282">
        <w:rPr>
          <w:rFonts w:cs="Times New Roman"/>
          <w:color w:val="000000"/>
          <w:szCs w:val="24"/>
        </w:rPr>
        <w:t xml:space="preserve"> which translates in</w:t>
      </w:r>
      <w:r w:rsidR="00E7049F" w:rsidRPr="004F3282">
        <w:rPr>
          <w:rFonts w:cs="Times New Roman"/>
          <w:color w:val="000000"/>
          <w:szCs w:val="24"/>
        </w:rPr>
        <w:t>to a</w:t>
      </w:r>
      <w:r w:rsidR="00E530CF" w:rsidRPr="004F3282">
        <w:rPr>
          <w:rFonts w:cs="Times New Roman"/>
          <w:color w:val="000000"/>
          <w:szCs w:val="24"/>
        </w:rPr>
        <w:t xml:space="preserve"> </w:t>
      </w:r>
      <w:r w:rsidRPr="004F3282">
        <w:rPr>
          <w:rFonts w:cs="Times New Roman"/>
          <w:color w:val="000000"/>
          <w:szCs w:val="24"/>
        </w:rPr>
        <w:t xml:space="preserve">need to both retain and attract talent. </w:t>
      </w:r>
    </w:p>
    <w:p w14:paraId="6E93736F" w14:textId="77777777" w:rsidR="00A07329" w:rsidRPr="004F3282" w:rsidRDefault="00A07329" w:rsidP="00BE6B43">
      <w:pPr>
        <w:autoSpaceDE w:val="0"/>
        <w:autoSpaceDN w:val="0"/>
        <w:adjustRightInd w:val="0"/>
        <w:rPr>
          <w:rFonts w:cs="Times New Roman"/>
          <w:color w:val="000000"/>
          <w:szCs w:val="24"/>
        </w:rPr>
      </w:pPr>
    </w:p>
    <w:p w14:paraId="1E99E876" w14:textId="31F99EBD" w:rsidR="00BE6B43" w:rsidRPr="004F3282" w:rsidRDefault="00BE6B43" w:rsidP="00BE6B43">
      <w:pPr>
        <w:autoSpaceDE w:val="0"/>
        <w:autoSpaceDN w:val="0"/>
        <w:adjustRightInd w:val="0"/>
        <w:rPr>
          <w:rFonts w:cs="Times New Roman"/>
          <w:color w:val="000000"/>
          <w:szCs w:val="24"/>
        </w:rPr>
      </w:pPr>
      <w:r w:rsidRPr="004F3282">
        <w:rPr>
          <w:rFonts w:cs="Times New Roman"/>
          <w:color w:val="000000" w:themeColor="text1"/>
          <w:szCs w:val="24"/>
        </w:rPr>
        <w:t xml:space="preserve">These demographic shifts have profoundly affected the WB6 businesses. </w:t>
      </w:r>
      <w:r w:rsidR="002C0654" w:rsidRPr="004F3282">
        <w:rPr>
          <w:rFonts w:cs="Times New Roman"/>
          <w:color w:val="000000" w:themeColor="text1"/>
          <w:szCs w:val="24"/>
        </w:rPr>
        <w:t xml:space="preserve">According to Balkan Barometer 2024, </w:t>
      </w:r>
      <w:r w:rsidRPr="004F3282">
        <w:rPr>
          <w:rFonts w:cs="Times New Roman"/>
          <w:color w:val="000000" w:themeColor="text1"/>
          <w:szCs w:val="24"/>
        </w:rPr>
        <w:t xml:space="preserve">70% of businesses advocate for government policies to retain the workforce, while 25% are looking to recruit from other WB6 economies. </w:t>
      </w:r>
    </w:p>
    <w:p w14:paraId="6ECD9645" w14:textId="5BA437D4" w:rsidR="0034251F" w:rsidRPr="004F3282" w:rsidRDefault="0034251F" w:rsidP="00BE6B43">
      <w:pPr>
        <w:autoSpaceDE w:val="0"/>
        <w:autoSpaceDN w:val="0"/>
        <w:adjustRightInd w:val="0"/>
        <w:rPr>
          <w:rFonts w:cs="Times New Roman"/>
          <w:color w:val="000000"/>
          <w:szCs w:val="24"/>
        </w:rPr>
      </w:pPr>
    </w:p>
    <w:p w14:paraId="1177B835" w14:textId="5BB87DCA" w:rsidR="00BE6B43" w:rsidRPr="004F3282" w:rsidRDefault="00BE6B43" w:rsidP="00BE6B43">
      <w:pPr>
        <w:autoSpaceDE w:val="0"/>
        <w:autoSpaceDN w:val="0"/>
        <w:adjustRightInd w:val="0"/>
        <w:rPr>
          <w:rFonts w:cs="Times New Roman"/>
          <w:color w:val="000000"/>
          <w:szCs w:val="24"/>
        </w:rPr>
      </w:pPr>
      <w:r w:rsidRPr="004F3282">
        <w:rPr>
          <w:rFonts w:cs="Times New Roman"/>
          <w:color w:val="000000"/>
          <w:szCs w:val="24"/>
        </w:rPr>
        <w:t xml:space="preserve">The region's performance in skills development </w:t>
      </w:r>
      <w:proofErr w:type="gramStart"/>
      <w:r w:rsidRPr="004F3282">
        <w:rPr>
          <w:rFonts w:cs="Times New Roman"/>
          <w:color w:val="000000"/>
          <w:szCs w:val="24"/>
        </w:rPr>
        <w:t>lags behind</w:t>
      </w:r>
      <w:proofErr w:type="gramEnd"/>
      <w:r w:rsidRPr="004F3282">
        <w:rPr>
          <w:rFonts w:cs="Times New Roman"/>
          <w:color w:val="000000"/>
          <w:szCs w:val="24"/>
        </w:rPr>
        <w:t xml:space="preserve">, with most indicators </w:t>
      </w:r>
      <w:r w:rsidR="0065648D" w:rsidRPr="004F3282">
        <w:rPr>
          <w:rFonts w:cs="Times New Roman"/>
          <w:color w:val="000000"/>
          <w:szCs w:val="24"/>
        </w:rPr>
        <w:t>at</w:t>
      </w:r>
      <w:r w:rsidRPr="004F3282">
        <w:rPr>
          <w:rFonts w:cs="Times New Roman"/>
          <w:color w:val="000000"/>
          <w:szCs w:val="24"/>
        </w:rPr>
        <w:t xml:space="preserve"> half the EU and OECD averages. 80% of citizens view improving digital skills as essential for meeting workforce demands. Investment in research and development (R&amp;D) is also critically low; in five out of six </w:t>
      </w:r>
      <w:r w:rsidR="0058047A" w:rsidRPr="004F3282">
        <w:rPr>
          <w:rFonts w:cs="Times New Roman"/>
          <w:color w:val="000000"/>
          <w:szCs w:val="24"/>
        </w:rPr>
        <w:t>Western Balkan partners</w:t>
      </w:r>
      <w:r w:rsidRPr="004F3282">
        <w:rPr>
          <w:rFonts w:cs="Times New Roman"/>
          <w:color w:val="000000"/>
          <w:szCs w:val="24"/>
        </w:rPr>
        <w:t xml:space="preserve">, R&amp;D spending as a percentage of GDP is less than 20% of the EU average, </w:t>
      </w:r>
      <w:r w:rsidR="00A41415" w:rsidRPr="004F3282">
        <w:rPr>
          <w:rFonts w:cs="Times New Roman"/>
          <w:color w:val="000000"/>
          <w:szCs w:val="24"/>
        </w:rPr>
        <w:t>hampering</w:t>
      </w:r>
      <w:r w:rsidRPr="004F3282">
        <w:rPr>
          <w:rFonts w:cs="Times New Roman"/>
          <w:color w:val="000000"/>
          <w:szCs w:val="24"/>
        </w:rPr>
        <w:t xml:space="preserve"> innovation and the development of skilled researchers in the region.</w:t>
      </w:r>
    </w:p>
    <w:p w14:paraId="0F0937BE" w14:textId="02BA329A" w:rsidR="006B63D8" w:rsidRPr="004F3282" w:rsidRDefault="00873E17" w:rsidP="004A4C6A">
      <w:pPr>
        <w:autoSpaceDE w:val="0"/>
        <w:autoSpaceDN w:val="0"/>
        <w:adjustRightInd w:val="0"/>
        <w:spacing w:after="240"/>
        <w:rPr>
          <w:rFonts w:cs="Times New Roman"/>
          <w:color w:val="000000"/>
          <w:szCs w:val="24"/>
        </w:rPr>
      </w:pPr>
      <w:r w:rsidRPr="004F3282">
        <w:rPr>
          <w:rFonts w:cs="Times New Roman"/>
          <w:color w:val="000000"/>
          <w:szCs w:val="24"/>
        </w:rPr>
        <w:t xml:space="preserve">Activities </w:t>
      </w:r>
      <w:r w:rsidR="0034251F" w:rsidRPr="004F3282">
        <w:rPr>
          <w:rFonts w:cs="Times New Roman"/>
          <w:color w:val="000000"/>
          <w:szCs w:val="24"/>
        </w:rPr>
        <w:t>in</w:t>
      </w:r>
      <w:r w:rsidRPr="004F3282">
        <w:rPr>
          <w:rFonts w:cs="Times New Roman"/>
          <w:color w:val="000000"/>
          <w:szCs w:val="24"/>
        </w:rPr>
        <w:t xml:space="preserve"> this field aim to</w:t>
      </w:r>
      <w:r w:rsidR="00BE6B43" w:rsidRPr="004F3282">
        <w:rPr>
          <w:rFonts w:cs="Times New Roman"/>
          <w:color w:val="000000"/>
          <w:szCs w:val="24"/>
        </w:rPr>
        <w:t xml:space="preserve"> enhance job opportunities and combat brain drain by aligning more closely with the E</w:t>
      </w:r>
      <w:r w:rsidR="00BD340B" w:rsidRPr="004F3282">
        <w:rPr>
          <w:rFonts w:cs="Times New Roman"/>
          <w:color w:val="000000"/>
          <w:szCs w:val="24"/>
        </w:rPr>
        <w:t>U</w:t>
      </w:r>
      <w:r w:rsidR="00BE6B43" w:rsidRPr="004F3282">
        <w:rPr>
          <w:rFonts w:cs="Times New Roman"/>
          <w:color w:val="000000"/>
          <w:szCs w:val="24"/>
        </w:rPr>
        <w:t xml:space="preserve"> and accelerating the Western Balkans six' economic integration into the EU </w:t>
      </w:r>
      <w:r w:rsidR="00EB7604" w:rsidRPr="004F3282">
        <w:rPr>
          <w:rFonts w:cs="Times New Roman"/>
          <w:color w:val="000000"/>
          <w:szCs w:val="24"/>
        </w:rPr>
        <w:t>s</w:t>
      </w:r>
      <w:r w:rsidR="00BE6B43" w:rsidRPr="004F3282">
        <w:rPr>
          <w:rFonts w:cs="Times New Roman"/>
          <w:color w:val="000000"/>
          <w:szCs w:val="24"/>
        </w:rPr>
        <w:t>ingle</w:t>
      </w:r>
      <w:r w:rsidR="00EB7604" w:rsidRPr="004F3282">
        <w:rPr>
          <w:rFonts w:cs="Times New Roman"/>
          <w:color w:val="000000"/>
          <w:szCs w:val="24"/>
        </w:rPr>
        <w:t xml:space="preserve"> m</w:t>
      </w:r>
      <w:r w:rsidR="00BE6B43" w:rsidRPr="004F3282">
        <w:rPr>
          <w:rFonts w:cs="Times New Roman"/>
          <w:color w:val="000000"/>
          <w:szCs w:val="24"/>
        </w:rPr>
        <w:t>arket.</w:t>
      </w:r>
    </w:p>
    <w:p w14:paraId="37FA9202" w14:textId="77777777" w:rsidR="00C66362" w:rsidRPr="004F3282" w:rsidRDefault="00C66362" w:rsidP="00C66362">
      <w:pPr>
        <w:rPr>
          <w:rFonts w:cs="Times New Roman"/>
          <w:color w:val="000000"/>
          <w:szCs w:val="24"/>
          <w:u w:val="single"/>
        </w:rPr>
      </w:pPr>
      <w:r w:rsidRPr="004F3282">
        <w:rPr>
          <w:rFonts w:cs="Times New Roman"/>
          <w:color w:val="000000"/>
          <w:szCs w:val="24"/>
          <w:u w:val="single"/>
        </w:rPr>
        <w:t xml:space="preserve">Identification of main stakeholders and corresponding institutional and/or organisational issues (mandates, potential roles, and capacities) to be covered by the </w:t>
      </w:r>
      <w:proofErr w:type="gramStart"/>
      <w:r w:rsidRPr="004F3282">
        <w:rPr>
          <w:rFonts w:cs="Times New Roman"/>
          <w:color w:val="000000"/>
          <w:szCs w:val="24"/>
          <w:u w:val="single"/>
        </w:rPr>
        <w:t>action</w:t>
      </w:r>
      <w:proofErr w:type="gramEnd"/>
    </w:p>
    <w:p w14:paraId="6C3A303A" w14:textId="77777777" w:rsidR="00672F64" w:rsidRPr="004F3282" w:rsidRDefault="00672F64" w:rsidP="00C66362">
      <w:pPr>
        <w:rPr>
          <w:rFonts w:cs="Times New Roman"/>
          <w:color w:val="000000"/>
          <w:szCs w:val="24"/>
          <w:u w:val="single"/>
        </w:rPr>
      </w:pPr>
    </w:p>
    <w:p w14:paraId="62030B7E" w14:textId="5FCAFBF5" w:rsidR="00BA0570" w:rsidRPr="004F3282" w:rsidRDefault="0097246E" w:rsidP="00C66362">
      <w:pPr>
        <w:rPr>
          <w:rFonts w:cs="Times New Roman"/>
          <w:color w:val="000000"/>
          <w:szCs w:val="24"/>
        </w:rPr>
      </w:pPr>
      <w:r w:rsidRPr="004F3282">
        <w:rPr>
          <w:rFonts w:cs="Times New Roman"/>
          <w:color w:val="000000"/>
          <w:szCs w:val="24"/>
        </w:rPr>
        <w:t xml:space="preserve">The main stakeholders who will discuss </w:t>
      </w:r>
      <w:r w:rsidR="001C0B49" w:rsidRPr="004F3282">
        <w:rPr>
          <w:rFonts w:cs="Times New Roman"/>
          <w:color w:val="000000"/>
          <w:szCs w:val="24"/>
        </w:rPr>
        <w:t xml:space="preserve">solutions to fight brain drain, attract </w:t>
      </w:r>
      <w:proofErr w:type="gramStart"/>
      <w:r w:rsidR="001C0B49" w:rsidRPr="004F3282">
        <w:rPr>
          <w:rFonts w:cs="Times New Roman"/>
          <w:color w:val="000000"/>
          <w:szCs w:val="24"/>
        </w:rPr>
        <w:t>talent</w:t>
      </w:r>
      <w:proofErr w:type="gramEnd"/>
      <w:r w:rsidR="001C0B49" w:rsidRPr="004F3282">
        <w:rPr>
          <w:rFonts w:cs="Times New Roman"/>
          <w:color w:val="000000"/>
          <w:szCs w:val="24"/>
        </w:rPr>
        <w:t xml:space="preserve"> and </w:t>
      </w:r>
      <w:r w:rsidR="00E94244" w:rsidRPr="004F3282">
        <w:rPr>
          <w:rFonts w:cs="Times New Roman"/>
          <w:color w:val="000000"/>
          <w:szCs w:val="24"/>
        </w:rPr>
        <w:t>provide relevant</w:t>
      </w:r>
      <w:r w:rsidR="00762961" w:rsidRPr="004F3282">
        <w:rPr>
          <w:rFonts w:cs="Times New Roman"/>
          <w:color w:val="000000"/>
          <w:szCs w:val="24"/>
        </w:rPr>
        <w:t xml:space="preserve"> labour market</w:t>
      </w:r>
      <w:r w:rsidR="00E94244" w:rsidRPr="004F3282">
        <w:rPr>
          <w:rFonts w:cs="Times New Roman"/>
          <w:color w:val="000000"/>
          <w:szCs w:val="24"/>
        </w:rPr>
        <w:t xml:space="preserve"> skills </w:t>
      </w:r>
      <w:r w:rsidR="00754499" w:rsidRPr="004F3282">
        <w:rPr>
          <w:rFonts w:cs="Times New Roman"/>
          <w:color w:val="000000"/>
          <w:szCs w:val="24"/>
        </w:rPr>
        <w:t xml:space="preserve">will be </w:t>
      </w:r>
      <w:r w:rsidR="007F619E" w:rsidRPr="004F3282">
        <w:rPr>
          <w:rFonts w:cs="Times New Roman"/>
          <w:color w:val="000000"/>
          <w:szCs w:val="24"/>
        </w:rPr>
        <w:t xml:space="preserve">representatives of the ministries of education and research and innovation, </w:t>
      </w:r>
      <w:r w:rsidR="0056416B" w:rsidRPr="004F3282">
        <w:rPr>
          <w:rFonts w:cs="Times New Roman"/>
          <w:color w:val="000000"/>
          <w:szCs w:val="24"/>
        </w:rPr>
        <w:t xml:space="preserve">universities and academia representatives, </w:t>
      </w:r>
      <w:r w:rsidR="008B77CB" w:rsidRPr="004F3282">
        <w:rPr>
          <w:rFonts w:cs="Times New Roman"/>
          <w:color w:val="000000"/>
          <w:szCs w:val="24"/>
        </w:rPr>
        <w:t>business representatives</w:t>
      </w:r>
      <w:r w:rsidR="003C71BB" w:rsidRPr="004F3282">
        <w:rPr>
          <w:rFonts w:cs="Times New Roman"/>
          <w:color w:val="000000"/>
          <w:szCs w:val="24"/>
        </w:rPr>
        <w:t>, including SMEs and start-ups.</w:t>
      </w:r>
    </w:p>
    <w:p w14:paraId="22C02747" w14:textId="77777777" w:rsidR="00C66362" w:rsidRPr="004F3282" w:rsidRDefault="00C66362" w:rsidP="00C66362">
      <w:pPr>
        <w:autoSpaceDE w:val="0"/>
        <w:autoSpaceDN w:val="0"/>
        <w:adjustRightInd w:val="0"/>
        <w:rPr>
          <w:rFonts w:cs="Times New Roman"/>
          <w:color w:val="000000"/>
          <w:szCs w:val="24"/>
        </w:rPr>
      </w:pPr>
    </w:p>
    <w:p w14:paraId="40AF8C62" w14:textId="0A017B8A" w:rsidR="00C66362" w:rsidRPr="004F3282" w:rsidRDefault="00672F64" w:rsidP="00C66362">
      <w:pPr>
        <w:autoSpaceDE w:val="0"/>
        <w:autoSpaceDN w:val="0"/>
        <w:adjustRightInd w:val="0"/>
        <w:rPr>
          <w:rFonts w:cs="Times New Roman"/>
          <w:color w:val="000000"/>
          <w:szCs w:val="24"/>
        </w:rPr>
      </w:pPr>
      <w:r w:rsidRPr="004F3282">
        <w:rPr>
          <w:rFonts w:cs="Times New Roman"/>
          <w:color w:val="000000"/>
          <w:szCs w:val="24"/>
        </w:rPr>
        <w:t>The final beneficiaries of this action are citizens</w:t>
      </w:r>
      <w:r w:rsidR="00C46781" w:rsidRPr="004F3282">
        <w:rPr>
          <w:rFonts w:cs="Times New Roman"/>
          <w:color w:val="000000"/>
          <w:szCs w:val="24"/>
        </w:rPr>
        <w:t>, more specifically workers and more vulnerable categories</w:t>
      </w:r>
      <w:r w:rsidR="003C04DD" w:rsidRPr="004F3282">
        <w:rPr>
          <w:rFonts w:cs="Times New Roman"/>
          <w:color w:val="000000"/>
          <w:szCs w:val="24"/>
        </w:rPr>
        <w:t>, as well as</w:t>
      </w:r>
      <w:r w:rsidRPr="004F3282">
        <w:rPr>
          <w:rFonts w:cs="Times New Roman"/>
          <w:color w:val="000000"/>
          <w:szCs w:val="24"/>
        </w:rPr>
        <w:t xml:space="preserve"> businesses in the Western Balkan region. </w:t>
      </w:r>
    </w:p>
    <w:p w14:paraId="34436AF0" w14:textId="77777777" w:rsidR="00C66362" w:rsidRPr="004F3282" w:rsidRDefault="00C66362" w:rsidP="00B03C1C">
      <w:pPr>
        <w:autoSpaceDE w:val="0"/>
        <w:autoSpaceDN w:val="0"/>
        <w:adjustRightInd w:val="0"/>
        <w:rPr>
          <w:rFonts w:cs="Times New Roman"/>
          <w:color w:val="000000"/>
          <w:szCs w:val="24"/>
        </w:rPr>
      </w:pPr>
    </w:p>
    <w:p w14:paraId="5B16E9D3" w14:textId="77777777" w:rsidR="00741E28" w:rsidRPr="004F3282" w:rsidRDefault="00741E28" w:rsidP="00741E28">
      <w:pPr>
        <w:pStyle w:val="ListParagraph"/>
        <w:numPr>
          <w:ilvl w:val="0"/>
          <w:numId w:val="114"/>
        </w:numPr>
        <w:autoSpaceDE w:val="0"/>
        <w:autoSpaceDN w:val="0"/>
        <w:adjustRightInd w:val="0"/>
        <w:rPr>
          <w:rFonts w:cs="Times New Roman"/>
          <w:color w:val="000000"/>
          <w:szCs w:val="24"/>
        </w:rPr>
      </w:pPr>
      <w:r w:rsidRPr="004F3282">
        <w:rPr>
          <w:rFonts w:cs="Times New Roman"/>
          <w:color w:val="000000"/>
          <w:szCs w:val="24"/>
        </w:rPr>
        <w:t xml:space="preserve">Business enabling environment and </w:t>
      </w:r>
      <w:proofErr w:type="gramStart"/>
      <w:r w:rsidRPr="004F3282">
        <w:rPr>
          <w:rFonts w:cs="Times New Roman"/>
          <w:color w:val="000000"/>
          <w:szCs w:val="24"/>
        </w:rPr>
        <w:t>competitiveness</w:t>
      </w:r>
      <w:proofErr w:type="gramEnd"/>
    </w:p>
    <w:p w14:paraId="2A17D71F" w14:textId="77777777" w:rsidR="003C71BB" w:rsidRPr="004F3282" w:rsidRDefault="003C71BB" w:rsidP="003C71BB">
      <w:pPr>
        <w:autoSpaceDE w:val="0"/>
        <w:autoSpaceDN w:val="0"/>
        <w:adjustRightInd w:val="0"/>
        <w:rPr>
          <w:rFonts w:cs="Times New Roman"/>
          <w:color w:val="000000"/>
          <w:szCs w:val="24"/>
        </w:rPr>
      </w:pPr>
    </w:p>
    <w:p w14:paraId="1E06B66C" w14:textId="06FB05A0" w:rsidR="003C71BB" w:rsidRPr="004F3282" w:rsidRDefault="0034743A">
      <w:pPr>
        <w:autoSpaceDE w:val="0"/>
        <w:autoSpaceDN w:val="0"/>
        <w:adjustRightInd w:val="0"/>
        <w:rPr>
          <w:rFonts w:cs="Times New Roman"/>
          <w:color w:val="000000"/>
          <w:szCs w:val="24"/>
          <w:u w:val="single"/>
        </w:rPr>
      </w:pPr>
      <w:r w:rsidRPr="004F3282">
        <w:rPr>
          <w:rFonts w:cs="Times New Roman"/>
          <w:color w:val="000000"/>
          <w:szCs w:val="24"/>
          <w:u w:val="single"/>
        </w:rPr>
        <w:t>Short problem analysis</w:t>
      </w:r>
      <w:r w:rsidR="00D617CB" w:rsidRPr="004F3282">
        <w:rPr>
          <w:rFonts w:cs="Times New Roman"/>
          <w:color w:val="000000"/>
          <w:szCs w:val="24"/>
          <w:u w:val="single"/>
        </w:rPr>
        <w:t>:</w:t>
      </w:r>
    </w:p>
    <w:p w14:paraId="703D7F03" w14:textId="77777777" w:rsidR="00D617CB" w:rsidRPr="004F3282" w:rsidRDefault="00D617CB" w:rsidP="004A4C6A">
      <w:pPr>
        <w:autoSpaceDE w:val="0"/>
        <w:autoSpaceDN w:val="0"/>
        <w:adjustRightInd w:val="0"/>
        <w:rPr>
          <w:rFonts w:cs="Times New Roman"/>
          <w:color w:val="000000"/>
          <w:szCs w:val="24"/>
        </w:rPr>
      </w:pPr>
    </w:p>
    <w:p w14:paraId="1BDF4800" w14:textId="50793250" w:rsidR="008B18D8" w:rsidRPr="004F3282" w:rsidRDefault="008B18D8">
      <w:pPr>
        <w:autoSpaceDE w:val="0"/>
        <w:autoSpaceDN w:val="0"/>
        <w:adjustRightInd w:val="0"/>
        <w:rPr>
          <w:rFonts w:cs="Times New Roman"/>
          <w:color w:val="000000"/>
          <w:szCs w:val="24"/>
        </w:rPr>
      </w:pPr>
      <w:r w:rsidRPr="004F3282">
        <w:rPr>
          <w:rFonts w:cs="Times New Roman"/>
          <w:color w:val="000000"/>
          <w:szCs w:val="24"/>
        </w:rPr>
        <w:t xml:space="preserve">Better cooperation among </w:t>
      </w:r>
      <w:r w:rsidR="003C04DD" w:rsidRPr="004F3282">
        <w:rPr>
          <w:rFonts w:cs="Times New Roman"/>
          <w:color w:val="000000"/>
          <w:szCs w:val="24"/>
        </w:rPr>
        <w:t xml:space="preserve">the </w:t>
      </w:r>
      <w:r w:rsidRPr="004F3282">
        <w:rPr>
          <w:rFonts w:cs="Times New Roman"/>
          <w:color w:val="000000"/>
          <w:szCs w:val="24"/>
        </w:rPr>
        <w:t>Western Balkans</w:t>
      </w:r>
      <w:r w:rsidR="003C04DD" w:rsidRPr="004F3282">
        <w:rPr>
          <w:rFonts w:cs="Times New Roman"/>
          <w:color w:val="000000"/>
          <w:szCs w:val="24"/>
        </w:rPr>
        <w:t>’</w:t>
      </w:r>
      <w:r w:rsidRPr="004F3282">
        <w:rPr>
          <w:rFonts w:cs="Times New Roman"/>
          <w:color w:val="000000"/>
          <w:szCs w:val="24"/>
        </w:rPr>
        <w:t xml:space="preserve"> economies through </w:t>
      </w:r>
      <w:r w:rsidR="003C04DD" w:rsidRPr="004F3282">
        <w:rPr>
          <w:rFonts w:cs="Times New Roman"/>
          <w:color w:val="000000"/>
          <w:szCs w:val="24"/>
        </w:rPr>
        <w:t xml:space="preserve">the </w:t>
      </w:r>
      <w:r w:rsidRPr="004F3282">
        <w:rPr>
          <w:rFonts w:cs="Times New Roman"/>
          <w:color w:val="000000"/>
          <w:szCs w:val="24"/>
        </w:rPr>
        <w:t>financial sector and investment policy reforms and investment promotion</w:t>
      </w:r>
      <w:r w:rsidR="00D617CB" w:rsidRPr="004F3282">
        <w:rPr>
          <w:rFonts w:cs="Times New Roman"/>
          <w:color w:val="000000"/>
          <w:szCs w:val="24"/>
        </w:rPr>
        <w:t>,</w:t>
      </w:r>
      <w:r w:rsidRPr="004F3282">
        <w:rPr>
          <w:rFonts w:cs="Times New Roman"/>
          <w:color w:val="000000"/>
          <w:szCs w:val="24"/>
        </w:rPr>
        <w:t xml:space="preserve"> can fuel the convergence of the Western Balkans Six (WB6) to the EU. </w:t>
      </w:r>
      <w:r w:rsidR="003C04DD" w:rsidRPr="004F3282">
        <w:rPr>
          <w:rFonts w:cs="Times New Roman"/>
          <w:color w:val="000000"/>
          <w:szCs w:val="24"/>
        </w:rPr>
        <w:t>P</w:t>
      </w:r>
      <w:r w:rsidRPr="004F3282">
        <w:rPr>
          <w:rFonts w:cs="Times New Roman"/>
          <w:color w:val="000000"/>
          <w:szCs w:val="24"/>
        </w:rPr>
        <w:t xml:space="preserve">rogress across all WB6 economies </w:t>
      </w:r>
      <w:r w:rsidR="003C04DD" w:rsidRPr="004F3282">
        <w:rPr>
          <w:rFonts w:cs="Times New Roman"/>
          <w:color w:val="000000"/>
          <w:szCs w:val="24"/>
        </w:rPr>
        <w:t>i</w:t>
      </w:r>
      <w:r w:rsidRPr="004F3282">
        <w:rPr>
          <w:rFonts w:cs="Times New Roman"/>
          <w:color w:val="000000"/>
          <w:szCs w:val="24"/>
        </w:rPr>
        <w:t xml:space="preserve">s varied in terms of the pace and breath of </w:t>
      </w:r>
      <w:r w:rsidR="00E92C11" w:rsidRPr="004F3282">
        <w:rPr>
          <w:rFonts w:cs="Times New Roman"/>
          <w:color w:val="000000"/>
          <w:szCs w:val="24"/>
        </w:rPr>
        <w:t xml:space="preserve">the </w:t>
      </w:r>
      <w:r w:rsidRPr="004F3282">
        <w:rPr>
          <w:rFonts w:cs="Times New Roman"/>
          <w:color w:val="000000"/>
          <w:szCs w:val="24"/>
        </w:rPr>
        <w:t>adoption and implementation of regulation</w:t>
      </w:r>
      <w:r w:rsidR="008A7822" w:rsidRPr="004F3282">
        <w:rPr>
          <w:rFonts w:cs="Times New Roman"/>
          <w:color w:val="000000"/>
          <w:szCs w:val="24"/>
        </w:rPr>
        <w:t xml:space="preserve"> that is</w:t>
      </w:r>
      <w:r w:rsidRPr="004F3282">
        <w:rPr>
          <w:rFonts w:cs="Times New Roman"/>
          <w:color w:val="000000"/>
          <w:szCs w:val="24"/>
        </w:rPr>
        <w:t xml:space="preserve"> consistent with the EU legislative standards </w:t>
      </w:r>
      <w:r w:rsidR="008A7822" w:rsidRPr="004F3282">
        <w:rPr>
          <w:rFonts w:cs="Times New Roman"/>
          <w:color w:val="000000"/>
          <w:szCs w:val="24"/>
        </w:rPr>
        <w:t>for</w:t>
      </w:r>
      <w:r w:rsidRPr="004F3282">
        <w:rPr>
          <w:rFonts w:cs="Times New Roman"/>
          <w:color w:val="000000"/>
          <w:szCs w:val="24"/>
        </w:rPr>
        <w:t xml:space="preserve"> payment systems moderni</w:t>
      </w:r>
      <w:r w:rsidR="008A7822" w:rsidRPr="004F3282">
        <w:rPr>
          <w:rFonts w:cs="Times New Roman"/>
          <w:color w:val="000000"/>
          <w:szCs w:val="24"/>
        </w:rPr>
        <w:t>s</w:t>
      </w:r>
      <w:r w:rsidRPr="004F3282">
        <w:rPr>
          <w:rFonts w:cs="Times New Roman"/>
          <w:color w:val="000000"/>
          <w:szCs w:val="24"/>
        </w:rPr>
        <w:t xml:space="preserve">ation. There continues to be a considerable gap in availability, usage, and cost of </w:t>
      </w:r>
      <w:bookmarkStart w:id="132" w:name="_Hlk178327244"/>
      <w:r w:rsidRPr="004F3282">
        <w:rPr>
          <w:rFonts w:cs="Times New Roman"/>
          <w:color w:val="000000"/>
          <w:szCs w:val="24"/>
        </w:rPr>
        <w:t>modern and innovative payment services and new generation retail payment systems</w:t>
      </w:r>
      <w:r w:rsidR="008A7822" w:rsidRPr="004F3282">
        <w:rPr>
          <w:rFonts w:cs="Times New Roman"/>
          <w:color w:val="000000"/>
          <w:szCs w:val="24"/>
        </w:rPr>
        <w:t>,</w:t>
      </w:r>
      <w:r w:rsidRPr="004F3282">
        <w:rPr>
          <w:rFonts w:cs="Times New Roman"/>
          <w:color w:val="000000"/>
          <w:szCs w:val="24"/>
        </w:rPr>
        <w:t xml:space="preserve"> such as Instant Payment Systems (IPS). </w:t>
      </w:r>
      <w:bookmarkEnd w:id="132"/>
    </w:p>
    <w:p w14:paraId="7A021C32" w14:textId="77777777" w:rsidR="00101E3C" w:rsidRPr="004F3282" w:rsidRDefault="00101E3C" w:rsidP="004A4C6A">
      <w:pPr>
        <w:autoSpaceDE w:val="0"/>
        <w:autoSpaceDN w:val="0"/>
        <w:adjustRightInd w:val="0"/>
        <w:rPr>
          <w:rFonts w:cs="Times New Roman"/>
          <w:color w:val="000000"/>
          <w:szCs w:val="24"/>
        </w:rPr>
      </w:pPr>
    </w:p>
    <w:p w14:paraId="5426CEA4" w14:textId="3195FB4A" w:rsidR="008B18D8" w:rsidRPr="004F3282" w:rsidRDefault="008B18D8" w:rsidP="004A4C6A">
      <w:pPr>
        <w:autoSpaceDE w:val="0"/>
        <w:autoSpaceDN w:val="0"/>
        <w:adjustRightInd w:val="0"/>
        <w:rPr>
          <w:rFonts w:cs="Times New Roman"/>
          <w:color w:val="000000"/>
          <w:szCs w:val="24"/>
        </w:rPr>
      </w:pPr>
      <w:r w:rsidRPr="004F3282">
        <w:rPr>
          <w:rFonts w:cs="Times New Roman"/>
          <w:color w:val="000000"/>
          <w:szCs w:val="24"/>
        </w:rPr>
        <w:t>The lack of efficient and interoperable payments infrastructures to process cross-border payments within WB6</w:t>
      </w:r>
      <w:r w:rsidR="008A7822" w:rsidRPr="004F3282">
        <w:rPr>
          <w:rFonts w:cs="Times New Roman"/>
          <w:color w:val="000000"/>
          <w:szCs w:val="24"/>
        </w:rPr>
        <w:t>,</w:t>
      </w:r>
      <w:r w:rsidRPr="004F3282">
        <w:rPr>
          <w:rFonts w:cs="Times New Roman"/>
          <w:color w:val="000000"/>
          <w:szCs w:val="24"/>
        </w:rPr>
        <w:t xml:space="preserve"> as well as with </w:t>
      </w:r>
      <w:r w:rsidR="008A7822" w:rsidRPr="004F3282">
        <w:rPr>
          <w:rFonts w:cs="Times New Roman"/>
          <w:color w:val="000000"/>
          <w:szCs w:val="24"/>
        </w:rPr>
        <w:t xml:space="preserve">the </w:t>
      </w:r>
      <w:r w:rsidRPr="004F3282">
        <w:rPr>
          <w:rFonts w:cs="Times New Roman"/>
          <w:color w:val="000000"/>
          <w:szCs w:val="24"/>
        </w:rPr>
        <w:t>EU</w:t>
      </w:r>
      <w:r w:rsidR="008A7822" w:rsidRPr="004F3282">
        <w:rPr>
          <w:rFonts w:cs="Times New Roman"/>
          <w:color w:val="000000"/>
          <w:szCs w:val="24"/>
        </w:rPr>
        <w:t>,</w:t>
      </w:r>
      <w:r w:rsidRPr="004F3282">
        <w:rPr>
          <w:rFonts w:cs="Times New Roman"/>
          <w:color w:val="000000"/>
          <w:szCs w:val="24"/>
        </w:rPr>
        <w:t xml:space="preserve"> hinders deeper economic integration and </w:t>
      </w:r>
      <w:r w:rsidR="000A3FAB" w:rsidRPr="004F3282">
        <w:rPr>
          <w:rFonts w:cs="Times New Roman"/>
          <w:color w:val="000000"/>
          <w:szCs w:val="24"/>
        </w:rPr>
        <w:t>underlin</w:t>
      </w:r>
      <w:r w:rsidRPr="004F3282">
        <w:rPr>
          <w:rFonts w:cs="Times New Roman"/>
          <w:color w:val="000000"/>
          <w:szCs w:val="24"/>
        </w:rPr>
        <w:t xml:space="preserve">es the importance of reforms regarding payment systems modernization. One of the key objectives is to reduce the costs of regional payments </w:t>
      </w:r>
      <w:r w:rsidR="004D1135" w:rsidRPr="004F3282">
        <w:rPr>
          <w:rFonts w:cs="Times New Roman"/>
          <w:color w:val="000000"/>
          <w:szCs w:val="24"/>
        </w:rPr>
        <w:t>through</w:t>
      </w:r>
      <w:r w:rsidRPr="004F3282">
        <w:rPr>
          <w:rFonts w:cs="Times New Roman"/>
          <w:color w:val="000000"/>
          <w:szCs w:val="24"/>
        </w:rPr>
        <w:t xml:space="preserve"> linked payment infrastructures of </w:t>
      </w:r>
      <w:r w:rsidR="004D1135" w:rsidRPr="004F3282">
        <w:rPr>
          <w:rFonts w:cs="Times New Roman"/>
          <w:color w:val="000000"/>
          <w:szCs w:val="24"/>
        </w:rPr>
        <w:t xml:space="preserve">the </w:t>
      </w:r>
      <w:r w:rsidRPr="004F3282">
        <w:rPr>
          <w:rFonts w:cs="Times New Roman"/>
          <w:color w:val="000000"/>
          <w:szCs w:val="24"/>
        </w:rPr>
        <w:t>WB6 economies</w:t>
      </w:r>
      <w:r w:rsidR="002F2173" w:rsidRPr="004F3282">
        <w:rPr>
          <w:rFonts w:cs="Times New Roman"/>
          <w:color w:val="000000"/>
          <w:szCs w:val="24"/>
        </w:rPr>
        <w:t>,</w:t>
      </w:r>
      <w:r w:rsidRPr="004F3282">
        <w:rPr>
          <w:rFonts w:cs="Times New Roman"/>
          <w:color w:val="000000"/>
          <w:szCs w:val="24"/>
        </w:rPr>
        <w:t xml:space="preserve"> </w:t>
      </w:r>
      <w:r w:rsidR="00795E95" w:rsidRPr="004F3282">
        <w:rPr>
          <w:rFonts w:cs="Times New Roman"/>
          <w:color w:val="000000"/>
          <w:szCs w:val="24"/>
        </w:rPr>
        <w:t xml:space="preserve">get </w:t>
      </w:r>
      <w:r w:rsidRPr="004F3282">
        <w:rPr>
          <w:rFonts w:cs="Times New Roman"/>
          <w:color w:val="000000"/>
          <w:szCs w:val="24"/>
        </w:rPr>
        <w:t xml:space="preserve">the whole region </w:t>
      </w:r>
      <w:r w:rsidR="00795E95" w:rsidRPr="004F3282">
        <w:rPr>
          <w:rFonts w:cs="Times New Roman"/>
          <w:color w:val="000000"/>
          <w:szCs w:val="24"/>
        </w:rPr>
        <w:t xml:space="preserve">to </w:t>
      </w:r>
      <w:r w:rsidRPr="004F3282">
        <w:rPr>
          <w:rFonts w:cs="Times New Roman"/>
          <w:color w:val="000000"/>
          <w:szCs w:val="24"/>
        </w:rPr>
        <w:t xml:space="preserve">join the </w:t>
      </w:r>
      <w:r w:rsidRPr="004F3282">
        <w:rPr>
          <w:rFonts w:cs="Times New Roman"/>
          <w:color w:val="000000"/>
          <w:szCs w:val="24"/>
        </w:rPr>
        <w:lastRenderedPageBreak/>
        <w:t>geographical scope of the Single Euro Payment Area (SEPA) and subsequently hav</w:t>
      </w:r>
      <w:r w:rsidR="00795E95" w:rsidRPr="004F3282">
        <w:rPr>
          <w:rFonts w:cs="Times New Roman"/>
          <w:color w:val="000000"/>
          <w:szCs w:val="24"/>
        </w:rPr>
        <w:t>e</w:t>
      </w:r>
      <w:r w:rsidRPr="004F3282">
        <w:rPr>
          <w:rFonts w:cs="Times New Roman"/>
          <w:color w:val="000000"/>
          <w:szCs w:val="24"/>
        </w:rPr>
        <w:t xml:space="preserve"> the various financial organisations join the relevant SEPA schemes.</w:t>
      </w:r>
    </w:p>
    <w:p w14:paraId="027B0DE0" w14:textId="77777777" w:rsidR="008B18D8" w:rsidRPr="004F3282" w:rsidRDefault="008B18D8" w:rsidP="008B18D8">
      <w:pPr>
        <w:pStyle w:val="ListParagraph"/>
        <w:autoSpaceDE w:val="0"/>
        <w:autoSpaceDN w:val="0"/>
        <w:adjustRightInd w:val="0"/>
        <w:rPr>
          <w:rFonts w:cs="Times New Roman"/>
          <w:color w:val="000000"/>
          <w:szCs w:val="24"/>
        </w:rPr>
      </w:pPr>
    </w:p>
    <w:p w14:paraId="40D1CDE7" w14:textId="32D71081" w:rsidR="0087035C" w:rsidRPr="004F3282" w:rsidRDefault="0087035C" w:rsidP="00247013">
      <w:pPr>
        <w:autoSpaceDE w:val="0"/>
        <w:autoSpaceDN w:val="0"/>
        <w:adjustRightInd w:val="0"/>
        <w:rPr>
          <w:rFonts w:cs="Times New Roman"/>
          <w:color w:val="000000"/>
          <w:szCs w:val="24"/>
        </w:rPr>
      </w:pPr>
      <w:r w:rsidRPr="004F3282">
        <w:rPr>
          <w:rFonts w:cs="Times New Roman"/>
          <w:color w:val="000000"/>
          <w:szCs w:val="24"/>
        </w:rPr>
        <w:t>Foreign Direct Investment flows to the Western Balkans</w:t>
      </w:r>
      <w:r w:rsidR="00386700" w:rsidRPr="004F3282">
        <w:rPr>
          <w:rFonts w:cs="Times New Roman"/>
          <w:color w:val="000000"/>
          <w:szCs w:val="24"/>
        </w:rPr>
        <w:t xml:space="preserve"> have been increasing at a compound annual growth rate of approximately 6.7% in recent years</w:t>
      </w:r>
      <w:r w:rsidR="005400DD" w:rsidRPr="004F3282">
        <w:rPr>
          <w:rFonts w:cs="Times New Roman"/>
          <w:color w:val="000000"/>
          <w:szCs w:val="24"/>
        </w:rPr>
        <w:t>, although they</w:t>
      </w:r>
      <w:r w:rsidRPr="004F3282">
        <w:rPr>
          <w:rFonts w:cs="Times New Roman"/>
          <w:color w:val="000000"/>
          <w:szCs w:val="24"/>
        </w:rPr>
        <w:t xml:space="preserve"> remain rather modest, more work is needed in terms of developing a joint regional approach to policy reforms (including sustainable development</w:t>
      </w:r>
      <w:r w:rsidR="008971F3" w:rsidRPr="004F3282">
        <w:rPr>
          <w:rFonts w:cs="Times New Roman"/>
          <w:color w:val="000000"/>
          <w:szCs w:val="24"/>
        </w:rPr>
        <w:t xml:space="preserve">, sustainable investments </w:t>
      </w:r>
      <w:r w:rsidRPr="004F3282">
        <w:rPr>
          <w:rFonts w:cs="Times New Roman"/>
          <w:color w:val="000000"/>
          <w:szCs w:val="24"/>
        </w:rPr>
        <w:t>and green</w:t>
      </w:r>
      <w:r w:rsidR="00276F72" w:rsidRPr="004F3282">
        <w:rPr>
          <w:rFonts w:cs="Times New Roman"/>
          <w:color w:val="000000"/>
          <w:szCs w:val="24"/>
        </w:rPr>
        <w:t>ing of industries</w:t>
      </w:r>
      <w:r w:rsidRPr="004F3282">
        <w:rPr>
          <w:rFonts w:cs="Times New Roman"/>
          <w:color w:val="000000"/>
          <w:szCs w:val="24"/>
        </w:rPr>
        <w:t>)</w:t>
      </w:r>
      <w:r w:rsidR="002879FF" w:rsidRPr="004F3282">
        <w:rPr>
          <w:rFonts w:cs="Times New Roman"/>
          <w:color w:val="000000"/>
          <w:szCs w:val="24"/>
        </w:rPr>
        <w:t>.</w:t>
      </w:r>
    </w:p>
    <w:p w14:paraId="7952CB26" w14:textId="77777777" w:rsidR="00EF27BB" w:rsidRPr="004F3282" w:rsidRDefault="00EF27BB" w:rsidP="00E412A7">
      <w:pPr>
        <w:autoSpaceDE w:val="0"/>
        <w:autoSpaceDN w:val="0"/>
        <w:adjustRightInd w:val="0"/>
        <w:rPr>
          <w:rFonts w:cs="Times New Roman"/>
          <w:color w:val="000000"/>
          <w:szCs w:val="24"/>
        </w:rPr>
      </w:pPr>
    </w:p>
    <w:p w14:paraId="73739D12" w14:textId="5A785DAE" w:rsidR="00A220B6" w:rsidRPr="004F3282" w:rsidRDefault="00A220B6" w:rsidP="00E412A7">
      <w:pPr>
        <w:autoSpaceDE w:val="0"/>
        <w:autoSpaceDN w:val="0"/>
        <w:adjustRightInd w:val="0"/>
        <w:rPr>
          <w:rFonts w:cs="Times New Roman"/>
          <w:color w:val="000000"/>
          <w:szCs w:val="24"/>
        </w:rPr>
      </w:pPr>
      <w:r w:rsidRPr="004F3282">
        <w:rPr>
          <w:rFonts w:cs="Times New Roman"/>
          <w:color w:val="000000"/>
          <w:szCs w:val="24"/>
        </w:rPr>
        <w:t>Financial markets in the WB6 are still developing, with credit extended to corporations representing approximately 23% of GDP, compared to 40% in the EU. A recent EIB study</w:t>
      </w:r>
      <w:r w:rsidR="00FC0F8F" w:rsidRPr="004F3282">
        <w:rPr>
          <w:rStyle w:val="FootnoteReference"/>
          <w:rFonts w:cs="Times New Roman"/>
          <w:color w:val="000000"/>
          <w:szCs w:val="24"/>
        </w:rPr>
        <w:footnoteReference w:id="8"/>
      </w:r>
      <w:r w:rsidRPr="004F3282">
        <w:rPr>
          <w:rFonts w:cs="Times New Roman"/>
          <w:color w:val="000000"/>
          <w:szCs w:val="24"/>
        </w:rPr>
        <w:t xml:space="preserve"> estimated the region’s financing gap at around USD 2.8 billion, equivalent to about 2.5% of nominal GDP.  More financing needs to be mobili</w:t>
      </w:r>
      <w:r w:rsidR="00CA2103" w:rsidRPr="004F3282">
        <w:rPr>
          <w:rFonts w:cs="Times New Roman"/>
          <w:color w:val="000000"/>
          <w:szCs w:val="24"/>
        </w:rPr>
        <w:t>s</w:t>
      </w:r>
      <w:r w:rsidRPr="004F3282">
        <w:rPr>
          <w:rFonts w:cs="Times New Roman"/>
          <w:color w:val="000000"/>
          <w:szCs w:val="24"/>
        </w:rPr>
        <w:t>ed for the green transition.</w:t>
      </w:r>
    </w:p>
    <w:p w14:paraId="6967A7D8" w14:textId="77777777" w:rsidR="008675B1" w:rsidRPr="004F3282" w:rsidRDefault="008675B1" w:rsidP="00E412A7">
      <w:pPr>
        <w:autoSpaceDE w:val="0"/>
        <w:autoSpaceDN w:val="0"/>
        <w:adjustRightInd w:val="0"/>
        <w:rPr>
          <w:rFonts w:cs="Times New Roman"/>
          <w:color w:val="000000"/>
          <w:szCs w:val="24"/>
        </w:rPr>
      </w:pPr>
    </w:p>
    <w:p w14:paraId="1FE09F21" w14:textId="4F04D69B" w:rsidR="008675B1" w:rsidRPr="004F3282" w:rsidRDefault="008675B1" w:rsidP="5D566301">
      <w:pPr>
        <w:autoSpaceDE w:val="0"/>
        <w:autoSpaceDN w:val="0"/>
        <w:adjustRightInd w:val="0"/>
        <w:rPr>
          <w:rFonts w:cs="Times New Roman"/>
          <w:color w:val="000000"/>
          <w:szCs w:val="24"/>
        </w:rPr>
      </w:pPr>
      <w:r w:rsidRPr="004F3282">
        <w:rPr>
          <w:rFonts w:cs="Times New Roman"/>
          <w:color w:val="000000" w:themeColor="text1"/>
          <w:szCs w:val="24"/>
        </w:rPr>
        <w:t>Supporting</w:t>
      </w:r>
      <w:r w:rsidR="00927490" w:rsidRPr="004F3282">
        <w:rPr>
          <w:rFonts w:cs="Times New Roman"/>
          <w:color w:val="000000" w:themeColor="text1"/>
          <w:szCs w:val="24"/>
        </w:rPr>
        <w:t xml:space="preserve"> Western Balkan</w:t>
      </w:r>
      <w:r w:rsidRPr="004F3282">
        <w:rPr>
          <w:rFonts w:cs="Times New Roman"/>
          <w:color w:val="000000" w:themeColor="text1"/>
          <w:szCs w:val="24"/>
        </w:rPr>
        <w:t xml:space="preserve"> industries </w:t>
      </w:r>
      <w:r w:rsidR="000F775F" w:rsidRPr="004F3282">
        <w:rPr>
          <w:rFonts w:cs="Times New Roman"/>
          <w:color w:val="000000" w:themeColor="text1"/>
          <w:szCs w:val="24"/>
        </w:rPr>
        <w:t xml:space="preserve">to </w:t>
      </w:r>
      <w:r w:rsidRPr="004F3282">
        <w:rPr>
          <w:rFonts w:cs="Times New Roman"/>
          <w:color w:val="000000" w:themeColor="text1"/>
          <w:szCs w:val="24"/>
        </w:rPr>
        <w:t>embrac</w:t>
      </w:r>
      <w:r w:rsidR="000F775F" w:rsidRPr="004F3282">
        <w:rPr>
          <w:rFonts w:cs="Times New Roman"/>
          <w:color w:val="000000" w:themeColor="text1"/>
          <w:szCs w:val="24"/>
        </w:rPr>
        <w:t>e</w:t>
      </w:r>
      <w:r w:rsidRPr="004F3282">
        <w:rPr>
          <w:rFonts w:cs="Times New Roman"/>
          <w:color w:val="000000" w:themeColor="text1"/>
          <w:szCs w:val="24"/>
        </w:rPr>
        <w:t xml:space="preserve"> the green transition</w:t>
      </w:r>
      <w:r w:rsidR="00927490" w:rsidRPr="004F3282">
        <w:rPr>
          <w:rFonts w:cs="Times New Roman"/>
          <w:color w:val="000000" w:themeColor="text1"/>
          <w:szCs w:val="24"/>
        </w:rPr>
        <w:t xml:space="preserve"> is </w:t>
      </w:r>
      <w:r w:rsidR="009D6A9C" w:rsidRPr="004F3282">
        <w:rPr>
          <w:rFonts w:cs="Times New Roman"/>
          <w:color w:val="000000" w:themeColor="text1"/>
          <w:szCs w:val="24"/>
        </w:rPr>
        <w:t>instrumental</w:t>
      </w:r>
      <w:r w:rsidR="00927490" w:rsidRPr="004F3282">
        <w:rPr>
          <w:rFonts w:cs="Times New Roman"/>
          <w:color w:val="000000" w:themeColor="text1"/>
          <w:szCs w:val="24"/>
        </w:rPr>
        <w:t xml:space="preserve"> </w:t>
      </w:r>
      <w:r w:rsidR="009D6A9C" w:rsidRPr="004F3282">
        <w:rPr>
          <w:rFonts w:cs="Times New Roman"/>
          <w:color w:val="000000" w:themeColor="text1"/>
          <w:szCs w:val="24"/>
        </w:rPr>
        <w:t xml:space="preserve">to </w:t>
      </w:r>
      <w:r w:rsidR="00047D70" w:rsidRPr="004F3282">
        <w:rPr>
          <w:rFonts w:cs="Times New Roman"/>
          <w:color w:val="000000" w:themeColor="text1"/>
          <w:szCs w:val="24"/>
        </w:rPr>
        <w:t>improving</w:t>
      </w:r>
      <w:r w:rsidR="009D6A9C" w:rsidRPr="004F3282">
        <w:rPr>
          <w:rFonts w:cs="Times New Roman"/>
          <w:color w:val="000000" w:themeColor="text1"/>
          <w:szCs w:val="24"/>
        </w:rPr>
        <w:t xml:space="preserve"> </w:t>
      </w:r>
      <w:r w:rsidRPr="004F3282">
        <w:rPr>
          <w:rFonts w:cs="Times New Roman"/>
          <w:color w:val="000000" w:themeColor="text1"/>
          <w:szCs w:val="24"/>
        </w:rPr>
        <w:t>business sector competitiveness. According to the World Bank Group’s Western Balkans Climate Report, the region would require an estimated $90 billion in investments to achieve net-zero objectives by 2050</w:t>
      </w:r>
      <w:r w:rsidR="00787164" w:rsidRPr="004F3282">
        <w:rPr>
          <w:rFonts w:cs="Times New Roman"/>
          <w:color w:val="000000" w:themeColor="text1"/>
          <w:szCs w:val="24"/>
        </w:rPr>
        <w:t xml:space="preserve"> - </w:t>
      </w:r>
      <w:r w:rsidRPr="004F3282">
        <w:rPr>
          <w:rFonts w:cs="Times New Roman"/>
          <w:color w:val="000000" w:themeColor="text1"/>
          <w:szCs w:val="24"/>
        </w:rPr>
        <w:t xml:space="preserve">equivalent to an annual investment of 1.9% of GDP until 2050. There can be no net-zero without SMEs and inclusivity. Hence, </w:t>
      </w:r>
      <w:r w:rsidR="002D5A94" w:rsidRPr="004F3282">
        <w:rPr>
          <w:rFonts w:cs="Times New Roman"/>
          <w:color w:val="000000" w:themeColor="text1"/>
          <w:szCs w:val="24"/>
        </w:rPr>
        <w:t>the focus of thi</w:t>
      </w:r>
      <w:r w:rsidR="00F45917" w:rsidRPr="004F3282">
        <w:rPr>
          <w:rFonts w:cs="Times New Roman"/>
          <w:color w:val="000000" w:themeColor="text1"/>
          <w:szCs w:val="24"/>
        </w:rPr>
        <w:t xml:space="preserve">s </w:t>
      </w:r>
      <w:r w:rsidR="009246D7" w:rsidRPr="004F3282">
        <w:rPr>
          <w:rFonts w:cs="Times New Roman"/>
          <w:color w:val="000000" w:themeColor="text1"/>
          <w:szCs w:val="24"/>
        </w:rPr>
        <w:t>strand</w:t>
      </w:r>
      <w:r w:rsidR="00F45917" w:rsidRPr="004F3282">
        <w:rPr>
          <w:rFonts w:cs="Times New Roman"/>
          <w:color w:val="000000" w:themeColor="text1"/>
          <w:szCs w:val="24"/>
        </w:rPr>
        <w:t xml:space="preserve"> of work will be</w:t>
      </w:r>
      <w:r w:rsidRPr="004F3282">
        <w:rPr>
          <w:rFonts w:cs="Times New Roman"/>
          <w:color w:val="000000" w:themeColor="text1"/>
          <w:szCs w:val="24"/>
        </w:rPr>
        <w:t xml:space="preserve"> support</w:t>
      </w:r>
      <w:r w:rsidR="009246D7" w:rsidRPr="004F3282">
        <w:rPr>
          <w:rFonts w:cs="Times New Roman"/>
          <w:color w:val="000000" w:themeColor="text1"/>
          <w:szCs w:val="24"/>
        </w:rPr>
        <w:t xml:space="preserve">ing </w:t>
      </w:r>
      <w:r w:rsidRPr="004F3282">
        <w:rPr>
          <w:rFonts w:cs="Times New Roman"/>
          <w:color w:val="000000" w:themeColor="text1"/>
          <w:szCs w:val="24"/>
        </w:rPr>
        <w:t>SMEs to be better positioned to adopt sustainable practices which are critical for driving green industrial transformation, as well as a gender-inclusive approach aiming women economic empowerment. Gender equality carries significant economic value as narrowing the gender gap in labour markets could increase GDP in emerging markets and developing economies by up to 8% (IMF, 2024).</w:t>
      </w:r>
    </w:p>
    <w:p w14:paraId="17B2E2C6" w14:textId="77777777" w:rsidR="00ED11C5" w:rsidRPr="004F3282" w:rsidRDefault="00ED11C5" w:rsidP="00E412A7">
      <w:pPr>
        <w:autoSpaceDE w:val="0"/>
        <w:autoSpaceDN w:val="0"/>
        <w:adjustRightInd w:val="0"/>
        <w:rPr>
          <w:rFonts w:cs="Times New Roman"/>
          <w:color w:val="000000"/>
          <w:szCs w:val="24"/>
        </w:rPr>
      </w:pPr>
    </w:p>
    <w:p w14:paraId="164586F4" w14:textId="1A3366E9" w:rsidR="007217EB" w:rsidRPr="004F3282" w:rsidRDefault="00EB43D8" w:rsidP="00ED11C5">
      <w:pPr>
        <w:rPr>
          <w:rFonts w:cs="Times New Roman"/>
          <w:color w:val="0D0D0D" w:themeColor="text1" w:themeTint="F2"/>
          <w:szCs w:val="24"/>
          <w:lang w:val="en-GB"/>
        </w:rPr>
      </w:pPr>
      <w:r w:rsidRPr="004F3282">
        <w:rPr>
          <w:rFonts w:cs="Times New Roman"/>
          <w:color w:val="000000"/>
          <w:szCs w:val="24"/>
        </w:rPr>
        <w:t xml:space="preserve">Overall, </w:t>
      </w:r>
      <w:r w:rsidR="009377F2" w:rsidRPr="004F3282">
        <w:rPr>
          <w:rFonts w:cs="Times New Roman"/>
          <w:color w:val="000000"/>
          <w:szCs w:val="24"/>
        </w:rPr>
        <w:t xml:space="preserve">the WB private sector </w:t>
      </w:r>
      <w:r w:rsidR="00CD43FF" w:rsidRPr="004F3282">
        <w:rPr>
          <w:rFonts w:cs="Times New Roman"/>
          <w:color w:val="000000"/>
          <w:szCs w:val="24"/>
        </w:rPr>
        <w:t xml:space="preserve">needs to develop </w:t>
      </w:r>
      <w:r w:rsidR="00723400" w:rsidRPr="004F3282">
        <w:rPr>
          <w:rFonts w:cs="Times New Roman"/>
          <w:color w:val="000000"/>
          <w:szCs w:val="24"/>
        </w:rPr>
        <w:t xml:space="preserve">quite significantly </w:t>
      </w:r>
      <w:r w:rsidR="009377F2" w:rsidRPr="004F3282">
        <w:rPr>
          <w:rFonts w:cs="Times New Roman"/>
          <w:color w:val="0D0D0D" w:themeColor="text1" w:themeTint="F2"/>
          <w:szCs w:val="24"/>
          <w:lang w:val="en-GB"/>
        </w:rPr>
        <w:t>to enhance competitiveness and respond to market needs and requirements</w:t>
      </w:r>
      <w:r w:rsidR="00BA1727" w:rsidRPr="004F3282">
        <w:rPr>
          <w:rFonts w:cs="Times New Roman"/>
          <w:color w:val="0D0D0D" w:themeColor="text1" w:themeTint="F2"/>
          <w:szCs w:val="24"/>
          <w:lang w:val="en-GB"/>
        </w:rPr>
        <w:t>.</w:t>
      </w:r>
      <w:r w:rsidR="006B403A" w:rsidRPr="004F3282">
        <w:rPr>
          <w:rFonts w:cs="Times New Roman"/>
          <w:color w:val="0D0D0D" w:themeColor="text1" w:themeTint="F2"/>
          <w:szCs w:val="24"/>
          <w:lang w:val="en-GB"/>
        </w:rPr>
        <w:t xml:space="preserve"> The establishment of a common regional market, as a stepping stone to the EU single market, must continue to be actively </w:t>
      </w:r>
      <w:r w:rsidR="009C3497" w:rsidRPr="004F3282">
        <w:rPr>
          <w:rFonts w:cs="Times New Roman"/>
          <w:color w:val="0D0D0D" w:themeColor="text1" w:themeTint="F2"/>
          <w:szCs w:val="24"/>
          <w:lang w:val="en-GB"/>
        </w:rPr>
        <w:t>foster</w:t>
      </w:r>
      <w:r w:rsidR="006B403A" w:rsidRPr="004F3282">
        <w:rPr>
          <w:rFonts w:cs="Times New Roman"/>
          <w:color w:val="0D0D0D" w:themeColor="text1" w:themeTint="F2"/>
          <w:szCs w:val="24"/>
          <w:lang w:val="en-GB"/>
        </w:rPr>
        <w:t>e</w:t>
      </w:r>
      <w:r w:rsidR="0091165C" w:rsidRPr="004F3282">
        <w:rPr>
          <w:rFonts w:cs="Times New Roman"/>
          <w:color w:val="0D0D0D" w:themeColor="text1" w:themeTint="F2"/>
          <w:szCs w:val="24"/>
          <w:lang w:val="en-GB"/>
        </w:rPr>
        <w:t>d.</w:t>
      </w:r>
      <w:r w:rsidR="009377F2" w:rsidRPr="004F3282">
        <w:rPr>
          <w:rFonts w:cs="Times New Roman"/>
          <w:color w:val="0D0D0D" w:themeColor="text1" w:themeTint="F2"/>
          <w:szCs w:val="24"/>
          <w:lang w:val="en-GB"/>
        </w:rPr>
        <w:t xml:space="preserve"> </w:t>
      </w:r>
    </w:p>
    <w:p w14:paraId="62ABE35B" w14:textId="77777777" w:rsidR="005F6644" w:rsidRPr="004F3282" w:rsidRDefault="005F6644" w:rsidP="00ED11C5">
      <w:pPr>
        <w:rPr>
          <w:rFonts w:asciiTheme="minorHAnsi" w:hAnsiTheme="minorHAnsi" w:cstheme="minorHAnsi"/>
          <w:color w:val="0D0D0D" w:themeColor="text1" w:themeTint="F2"/>
          <w:szCs w:val="24"/>
          <w:lang w:val="en-GB"/>
        </w:rPr>
      </w:pPr>
    </w:p>
    <w:p w14:paraId="602D31C5" w14:textId="006CA2BD" w:rsidR="00ED11C5" w:rsidRPr="004F3282" w:rsidRDefault="00ED11C5" w:rsidP="00ED11C5">
      <w:pPr>
        <w:rPr>
          <w:rFonts w:cs="Times New Roman"/>
          <w:color w:val="000000"/>
          <w:szCs w:val="24"/>
          <w:u w:val="single"/>
        </w:rPr>
      </w:pPr>
      <w:r w:rsidRPr="004F3282">
        <w:rPr>
          <w:rFonts w:cs="Times New Roman"/>
          <w:color w:val="000000"/>
          <w:szCs w:val="24"/>
          <w:u w:val="single"/>
        </w:rPr>
        <w:t xml:space="preserve">Identification of main stakeholders and corresponding institutional and/or organisational issues (mandates, potential roles, and capacities) to be covered by the </w:t>
      </w:r>
      <w:proofErr w:type="gramStart"/>
      <w:r w:rsidRPr="004F3282">
        <w:rPr>
          <w:rFonts w:cs="Times New Roman"/>
          <w:color w:val="000000"/>
          <w:szCs w:val="24"/>
          <w:u w:val="single"/>
        </w:rPr>
        <w:t>action</w:t>
      </w:r>
      <w:proofErr w:type="gramEnd"/>
    </w:p>
    <w:p w14:paraId="29237B7B" w14:textId="77777777" w:rsidR="00ED11C5" w:rsidRPr="004F3282" w:rsidRDefault="00ED11C5" w:rsidP="00ED11C5">
      <w:pPr>
        <w:rPr>
          <w:rFonts w:cs="Times New Roman"/>
          <w:color w:val="000000"/>
          <w:szCs w:val="24"/>
          <w:u w:val="single"/>
        </w:rPr>
      </w:pPr>
    </w:p>
    <w:p w14:paraId="4C1A641B" w14:textId="07A9E389" w:rsidR="00DC687A" w:rsidRPr="004F3282" w:rsidRDefault="00DC687A" w:rsidP="00DC687A">
      <w:pPr>
        <w:rPr>
          <w:rFonts w:cs="Times New Roman"/>
          <w:color w:val="000000"/>
          <w:szCs w:val="24"/>
        </w:rPr>
      </w:pPr>
      <w:r w:rsidRPr="004F3282">
        <w:rPr>
          <w:rFonts w:cs="Times New Roman"/>
          <w:color w:val="000000"/>
          <w:szCs w:val="24"/>
        </w:rPr>
        <w:t xml:space="preserve">The main stakeholders will be ministries of economy and finance from the WB6, WB6 central banks and </w:t>
      </w:r>
      <w:r w:rsidR="00746E85" w:rsidRPr="004F3282">
        <w:rPr>
          <w:rFonts w:cs="Times New Roman"/>
          <w:color w:val="000000"/>
          <w:szCs w:val="24"/>
        </w:rPr>
        <w:t>investment promotion agencies, WB6 Chambers of Commerce, WB6 C</w:t>
      </w:r>
      <w:r w:rsidR="00C106C2" w:rsidRPr="004F3282">
        <w:rPr>
          <w:rFonts w:cs="Times New Roman"/>
          <w:color w:val="000000"/>
          <w:szCs w:val="24"/>
        </w:rPr>
        <w:t>hamber Investment Forum</w:t>
      </w:r>
      <w:r w:rsidR="00746E85" w:rsidRPr="004F3282">
        <w:rPr>
          <w:rFonts w:cs="Times New Roman"/>
          <w:color w:val="000000"/>
          <w:szCs w:val="24"/>
        </w:rPr>
        <w:t xml:space="preserve">, </w:t>
      </w:r>
      <w:r w:rsidRPr="004F3282">
        <w:rPr>
          <w:rFonts w:cs="Times New Roman"/>
          <w:color w:val="000000"/>
          <w:szCs w:val="24"/>
        </w:rPr>
        <w:t>business representatives</w:t>
      </w:r>
      <w:r w:rsidR="00746E85" w:rsidRPr="004F3282">
        <w:rPr>
          <w:rFonts w:cs="Times New Roman"/>
          <w:color w:val="000000"/>
          <w:szCs w:val="24"/>
        </w:rPr>
        <w:t xml:space="preserve"> etc.</w:t>
      </w:r>
    </w:p>
    <w:p w14:paraId="2B7F4962" w14:textId="77777777" w:rsidR="00DC687A" w:rsidRPr="004F3282" w:rsidRDefault="00DC687A" w:rsidP="00DC687A">
      <w:pPr>
        <w:rPr>
          <w:rFonts w:cs="Times New Roman"/>
          <w:color w:val="000000"/>
          <w:szCs w:val="24"/>
        </w:rPr>
      </w:pPr>
    </w:p>
    <w:p w14:paraId="5CAFB017" w14:textId="17C68262" w:rsidR="009C5C77" w:rsidRPr="004F3282" w:rsidRDefault="00DC687A" w:rsidP="006906DA">
      <w:pPr>
        <w:rPr>
          <w:rFonts w:cs="Times New Roman"/>
          <w:color w:val="000000"/>
          <w:szCs w:val="24"/>
        </w:rPr>
      </w:pPr>
      <w:r w:rsidRPr="004F3282">
        <w:rPr>
          <w:rFonts w:cs="Times New Roman"/>
          <w:color w:val="000000"/>
          <w:szCs w:val="24"/>
        </w:rPr>
        <w:t>The final beneficiaries of this action are citizens</w:t>
      </w:r>
      <w:r w:rsidR="008F04DD" w:rsidRPr="004F3282">
        <w:rPr>
          <w:rFonts w:cs="Times New Roman"/>
          <w:color w:val="000000"/>
          <w:szCs w:val="24"/>
        </w:rPr>
        <w:t xml:space="preserve"> </w:t>
      </w:r>
      <w:r w:rsidRPr="004F3282">
        <w:rPr>
          <w:rFonts w:cs="Times New Roman"/>
          <w:color w:val="000000"/>
          <w:szCs w:val="24"/>
        </w:rPr>
        <w:t>and businesses in the Western Balkan region.</w:t>
      </w:r>
    </w:p>
    <w:p w14:paraId="439B3732" w14:textId="77777777" w:rsidR="00DA1D43" w:rsidRPr="004F3282" w:rsidRDefault="00DA1D43" w:rsidP="004A4C6A">
      <w:pPr>
        <w:pStyle w:val="ListParagraph"/>
        <w:autoSpaceDE w:val="0"/>
        <w:autoSpaceDN w:val="0"/>
        <w:adjustRightInd w:val="0"/>
        <w:rPr>
          <w:rFonts w:cs="Times New Roman"/>
          <w:color w:val="000000"/>
          <w:szCs w:val="24"/>
        </w:rPr>
      </w:pPr>
    </w:p>
    <w:p w14:paraId="77119715" w14:textId="3EF18624" w:rsidR="00741E28" w:rsidRPr="004F3282" w:rsidRDefault="00741E28" w:rsidP="00741E28">
      <w:pPr>
        <w:pStyle w:val="ListParagraph"/>
        <w:numPr>
          <w:ilvl w:val="0"/>
          <w:numId w:val="114"/>
        </w:numPr>
        <w:autoSpaceDE w:val="0"/>
        <w:autoSpaceDN w:val="0"/>
        <w:adjustRightInd w:val="0"/>
        <w:rPr>
          <w:rFonts w:cs="Times New Roman"/>
          <w:color w:val="000000"/>
          <w:szCs w:val="24"/>
        </w:rPr>
      </w:pPr>
      <w:r w:rsidRPr="004F3282">
        <w:rPr>
          <w:rFonts w:cs="Times New Roman"/>
          <w:color w:val="000000"/>
          <w:szCs w:val="24"/>
        </w:rPr>
        <w:t xml:space="preserve">Digital transformation </w:t>
      </w:r>
    </w:p>
    <w:p w14:paraId="04ECB669" w14:textId="77777777" w:rsidR="00572B20" w:rsidRPr="004F3282" w:rsidRDefault="00572B20" w:rsidP="004A4C6A">
      <w:pPr>
        <w:pStyle w:val="ListParagraph"/>
        <w:autoSpaceDE w:val="0"/>
        <w:autoSpaceDN w:val="0"/>
        <w:adjustRightInd w:val="0"/>
        <w:rPr>
          <w:rFonts w:cs="Times New Roman"/>
          <w:color w:val="000000"/>
          <w:szCs w:val="24"/>
        </w:rPr>
      </w:pPr>
    </w:p>
    <w:p w14:paraId="34F44166" w14:textId="77777777" w:rsidR="008B1DD8" w:rsidRPr="004F3282" w:rsidRDefault="008B1DD8" w:rsidP="008B1DD8">
      <w:pPr>
        <w:autoSpaceDE w:val="0"/>
        <w:autoSpaceDN w:val="0"/>
        <w:adjustRightInd w:val="0"/>
        <w:rPr>
          <w:rFonts w:cs="Times New Roman"/>
          <w:color w:val="000000"/>
          <w:szCs w:val="24"/>
          <w:u w:val="single"/>
        </w:rPr>
      </w:pPr>
      <w:r w:rsidRPr="004F3282">
        <w:rPr>
          <w:rFonts w:cs="Times New Roman"/>
          <w:color w:val="000000"/>
          <w:szCs w:val="24"/>
          <w:u w:val="single"/>
        </w:rPr>
        <w:t>Short problem analysis</w:t>
      </w:r>
    </w:p>
    <w:p w14:paraId="7E4AF28D" w14:textId="77777777" w:rsidR="008B1DD8" w:rsidRPr="004F3282" w:rsidRDefault="008B1DD8" w:rsidP="00572B20">
      <w:pPr>
        <w:autoSpaceDE w:val="0"/>
        <w:autoSpaceDN w:val="0"/>
        <w:adjustRightInd w:val="0"/>
        <w:rPr>
          <w:rFonts w:cs="Times New Roman"/>
          <w:color w:val="000000"/>
          <w:szCs w:val="24"/>
        </w:rPr>
      </w:pPr>
    </w:p>
    <w:p w14:paraId="453F673D" w14:textId="5BD4659C" w:rsidR="00655D3F" w:rsidRPr="004F3282" w:rsidRDefault="00741E28" w:rsidP="00572B20">
      <w:pPr>
        <w:autoSpaceDE w:val="0"/>
        <w:autoSpaceDN w:val="0"/>
        <w:adjustRightInd w:val="0"/>
        <w:rPr>
          <w:rFonts w:cs="Times New Roman"/>
          <w:color w:val="000000"/>
          <w:szCs w:val="24"/>
        </w:rPr>
      </w:pPr>
      <w:r w:rsidRPr="004F3282">
        <w:rPr>
          <w:rFonts w:cs="Times New Roman"/>
          <w:color w:val="000000"/>
          <w:szCs w:val="24"/>
        </w:rPr>
        <w:t>The Western Balkan digital market is fragmented, with underdeveloped digital infrastructure, uneven levels of harmonisation with the EU acquis and of enforcement capacities. Digital literacy is below optimal level and there is a significant need to increase digital skills and competences at a large scale. Development and usage of e-services in the region lags significantly behind the EU Member States level, slowing down the possibility of citizens and authorities to reap the benefits of e-Government, e-Procurement and e-Health technologies and services.</w:t>
      </w:r>
      <w:r w:rsidR="00033F6C" w:rsidRPr="004F3282">
        <w:rPr>
          <w:rFonts w:cs="Times New Roman"/>
          <w:color w:val="000000"/>
          <w:szCs w:val="24"/>
        </w:rPr>
        <w:t xml:space="preserve"> </w:t>
      </w:r>
    </w:p>
    <w:p w14:paraId="4C76B354" w14:textId="77777777" w:rsidR="0019483E" w:rsidRPr="004F3282" w:rsidRDefault="0019483E" w:rsidP="00572B20">
      <w:pPr>
        <w:autoSpaceDE w:val="0"/>
        <w:autoSpaceDN w:val="0"/>
        <w:adjustRightInd w:val="0"/>
        <w:rPr>
          <w:rFonts w:cs="Times New Roman"/>
          <w:color w:val="000000"/>
          <w:szCs w:val="24"/>
        </w:rPr>
      </w:pPr>
    </w:p>
    <w:p w14:paraId="14B28785" w14:textId="5C9CF582" w:rsidR="0019483E" w:rsidRPr="004F3282" w:rsidRDefault="000248DC" w:rsidP="00572B20">
      <w:pPr>
        <w:autoSpaceDE w:val="0"/>
        <w:autoSpaceDN w:val="0"/>
        <w:adjustRightInd w:val="0"/>
        <w:rPr>
          <w:rFonts w:cs="Times New Roman"/>
          <w:color w:val="000000"/>
          <w:szCs w:val="24"/>
        </w:rPr>
      </w:pPr>
      <w:r w:rsidRPr="004F3282">
        <w:rPr>
          <w:rFonts w:cs="Times New Roman"/>
          <w:color w:val="000000"/>
          <w:szCs w:val="24"/>
        </w:rPr>
        <w:t xml:space="preserve">Digital transformation remains a key priority for the Western Balkan Six. </w:t>
      </w:r>
      <w:r w:rsidR="0019483E" w:rsidRPr="004F3282">
        <w:rPr>
          <w:rFonts w:cs="Times New Roman"/>
          <w:color w:val="000000"/>
          <w:szCs w:val="24"/>
        </w:rPr>
        <w:t xml:space="preserve">The access to fast broadband speeds in the region is progressing. However, although Very </w:t>
      </w:r>
      <w:proofErr w:type="gramStart"/>
      <w:r w:rsidR="0019483E" w:rsidRPr="004F3282">
        <w:rPr>
          <w:rFonts w:cs="Times New Roman"/>
          <w:color w:val="000000"/>
          <w:szCs w:val="24"/>
        </w:rPr>
        <w:t>High Capacity</w:t>
      </w:r>
      <w:proofErr w:type="gramEnd"/>
      <w:r w:rsidR="0019483E" w:rsidRPr="004F3282">
        <w:rPr>
          <w:rFonts w:cs="Times New Roman"/>
          <w:color w:val="000000"/>
          <w:szCs w:val="24"/>
        </w:rPr>
        <w:t xml:space="preserve"> Networks (VHCN) coverage in WB6 </w:t>
      </w:r>
      <w:r w:rsidR="0019483E" w:rsidRPr="004F3282">
        <w:rPr>
          <w:rFonts w:cs="Times New Roman"/>
          <w:color w:val="000000"/>
          <w:szCs w:val="24"/>
        </w:rPr>
        <w:lastRenderedPageBreak/>
        <w:t xml:space="preserve">increased from 29% in 2020 to 48% in 2021, it was still much lower than in the EU, i.e. around 70% in 2021. The region is actively supporting the deployment of fixed broadband infrastructure networks, with a strong emphasis on expanding coverage in rural areas, while WB6 is still </w:t>
      </w:r>
      <w:proofErr w:type="gramStart"/>
      <w:r w:rsidR="0019483E" w:rsidRPr="004F3282">
        <w:rPr>
          <w:rFonts w:cs="Times New Roman"/>
          <w:color w:val="000000"/>
          <w:szCs w:val="24"/>
        </w:rPr>
        <w:t>lagging behind</w:t>
      </w:r>
      <w:proofErr w:type="gramEnd"/>
      <w:r w:rsidR="0019483E" w:rsidRPr="004F3282">
        <w:rPr>
          <w:rFonts w:cs="Times New Roman"/>
          <w:color w:val="000000"/>
          <w:szCs w:val="24"/>
        </w:rPr>
        <w:t xml:space="preserve"> the EU in 5G developments.</w:t>
      </w:r>
    </w:p>
    <w:p w14:paraId="4F1FB602" w14:textId="77777777" w:rsidR="00655D3F" w:rsidRPr="004F3282" w:rsidRDefault="00655D3F" w:rsidP="00572B20">
      <w:pPr>
        <w:autoSpaceDE w:val="0"/>
        <w:autoSpaceDN w:val="0"/>
        <w:adjustRightInd w:val="0"/>
        <w:rPr>
          <w:rFonts w:cs="Times New Roman"/>
          <w:color w:val="000000"/>
          <w:szCs w:val="24"/>
        </w:rPr>
      </w:pPr>
    </w:p>
    <w:p w14:paraId="52997D05" w14:textId="1B8AAF7A" w:rsidR="00741E28" w:rsidRPr="004F3282" w:rsidRDefault="00033F6C" w:rsidP="00572B20">
      <w:pPr>
        <w:autoSpaceDE w:val="0"/>
        <w:autoSpaceDN w:val="0"/>
        <w:adjustRightInd w:val="0"/>
        <w:rPr>
          <w:rFonts w:cs="Times New Roman"/>
          <w:color w:val="000000"/>
          <w:szCs w:val="24"/>
        </w:rPr>
      </w:pPr>
      <w:r w:rsidRPr="004F3282">
        <w:rPr>
          <w:rFonts w:cs="Times New Roman"/>
          <w:color w:val="000000"/>
          <w:szCs w:val="24"/>
        </w:rPr>
        <w:t xml:space="preserve">Work </w:t>
      </w:r>
      <w:r w:rsidR="00655D3F" w:rsidRPr="004F3282">
        <w:rPr>
          <w:rFonts w:cs="Times New Roman"/>
          <w:color w:val="000000"/>
          <w:szCs w:val="24"/>
        </w:rPr>
        <w:t xml:space="preserve">aims to drive the digital </w:t>
      </w:r>
      <w:r w:rsidR="000248DC" w:rsidRPr="004F3282">
        <w:rPr>
          <w:rFonts w:cs="Times New Roman"/>
          <w:color w:val="000000"/>
          <w:szCs w:val="24"/>
        </w:rPr>
        <w:t>transition</w:t>
      </w:r>
      <w:r w:rsidR="00655D3F" w:rsidRPr="004F3282">
        <w:rPr>
          <w:rFonts w:cs="Times New Roman"/>
          <w:color w:val="000000"/>
          <w:szCs w:val="24"/>
        </w:rPr>
        <w:t xml:space="preserve"> of the Western Balkan region and </w:t>
      </w:r>
      <w:r w:rsidRPr="004F3282">
        <w:rPr>
          <w:rFonts w:cs="Times New Roman"/>
          <w:color w:val="000000"/>
          <w:szCs w:val="24"/>
        </w:rPr>
        <w:t xml:space="preserve">will be especially </w:t>
      </w:r>
      <w:r w:rsidR="00815965" w:rsidRPr="004F3282">
        <w:rPr>
          <w:rFonts w:cs="Times New Roman"/>
          <w:color w:val="000000"/>
          <w:szCs w:val="24"/>
        </w:rPr>
        <w:t>target</w:t>
      </w:r>
      <w:r w:rsidRPr="004F3282">
        <w:rPr>
          <w:rFonts w:cs="Times New Roman"/>
          <w:color w:val="000000"/>
          <w:szCs w:val="24"/>
        </w:rPr>
        <w:t xml:space="preserve"> the fields of connectivity, both from the policy and the infrastructural point of view; Digital Economy, including increasing the digitalisation of the public and private sector and the put in place of regional interoperability; Cybersecurity</w:t>
      </w:r>
      <w:r w:rsidR="001B5B6D" w:rsidRPr="004F3282">
        <w:rPr>
          <w:rFonts w:cs="Times New Roman"/>
          <w:color w:val="000000"/>
          <w:szCs w:val="24"/>
        </w:rPr>
        <w:t xml:space="preserve">. </w:t>
      </w:r>
    </w:p>
    <w:p w14:paraId="510BE025" w14:textId="77777777" w:rsidR="008B1DD8" w:rsidRPr="004F3282" w:rsidRDefault="008B1DD8" w:rsidP="00572B20">
      <w:pPr>
        <w:autoSpaceDE w:val="0"/>
        <w:autoSpaceDN w:val="0"/>
        <w:adjustRightInd w:val="0"/>
        <w:rPr>
          <w:rFonts w:cs="Times New Roman"/>
          <w:color w:val="000000"/>
          <w:szCs w:val="24"/>
        </w:rPr>
      </w:pPr>
    </w:p>
    <w:p w14:paraId="02BC33A5" w14:textId="368FD66B" w:rsidR="008B1DD8" w:rsidRPr="004F3282" w:rsidRDefault="008B1DD8" w:rsidP="008B1DD8">
      <w:pPr>
        <w:rPr>
          <w:rFonts w:cs="Times New Roman"/>
          <w:color w:val="000000"/>
          <w:szCs w:val="24"/>
          <w:u w:val="single"/>
        </w:rPr>
      </w:pPr>
      <w:r w:rsidRPr="004F3282">
        <w:rPr>
          <w:rFonts w:cs="Times New Roman"/>
          <w:color w:val="000000"/>
          <w:szCs w:val="24"/>
          <w:u w:val="single"/>
        </w:rPr>
        <w:t>Identification of main stakeholders and corresponding institutional and/or organisational issues (mandates, potential roles, and capacities) to be covered by the action</w:t>
      </w:r>
      <w:r w:rsidR="00C10F2B" w:rsidRPr="004F3282">
        <w:rPr>
          <w:rFonts w:cs="Times New Roman"/>
          <w:color w:val="000000"/>
          <w:szCs w:val="24"/>
          <w:u w:val="single"/>
        </w:rPr>
        <w:t>.</w:t>
      </w:r>
    </w:p>
    <w:p w14:paraId="26F76AC2" w14:textId="77777777" w:rsidR="00082DF3" w:rsidRPr="004F3282" w:rsidRDefault="00082DF3" w:rsidP="008B1DD8">
      <w:pPr>
        <w:rPr>
          <w:rFonts w:cs="Times New Roman"/>
          <w:color w:val="000000"/>
          <w:szCs w:val="24"/>
          <w:u w:val="single"/>
        </w:rPr>
      </w:pPr>
    </w:p>
    <w:p w14:paraId="511A3E76" w14:textId="72D405D3" w:rsidR="00C10F2B" w:rsidRPr="004F3282" w:rsidRDefault="00082DF3" w:rsidP="008B1DD8">
      <w:pPr>
        <w:rPr>
          <w:rFonts w:cs="Times New Roman"/>
          <w:color w:val="000000"/>
          <w:szCs w:val="24"/>
        </w:rPr>
      </w:pPr>
      <w:r w:rsidRPr="004F3282">
        <w:rPr>
          <w:rFonts w:cs="Times New Roman"/>
          <w:color w:val="000000"/>
          <w:szCs w:val="24"/>
        </w:rPr>
        <w:t xml:space="preserve">The main stakeholders will be </w:t>
      </w:r>
      <w:r w:rsidR="00674264" w:rsidRPr="004F3282">
        <w:rPr>
          <w:rFonts w:cs="Times New Roman"/>
          <w:color w:val="000000"/>
          <w:szCs w:val="24"/>
        </w:rPr>
        <w:t>W</w:t>
      </w:r>
      <w:r w:rsidR="002720EF">
        <w:rPr>
          <w:rFonts w:cs="Times New Roman"/>
          <w:color w:val="000000"/>
          <w:szCs w:val="24"/>
        </w:rPr>
        <w:t xml:space="preserve">estern </w:t>
      </w:r>
      <w:r w:rsidR="00674264" w:rsidRPr="004F3282">
        <w:rPr>
          <w:rFonts w:cs="Times New Roman"/>
          <w:color w:val="000000"/>
          <w:szCs w:val="24"/>
        </w:rPr>
        <w:t>B</w:t>
      </w:r>
      <w:r w:rsidR="002720EF">
        <w:rPr>
          <w:rFonts w:cs="Times New Roman"/>
          <w:color w:val="000000"/>
          <w:szCs w:val="24"/>
        </w:rPr>
        <w:t>alkan</w:t>
      </w:r>
      <w:r w:rsidR="00674264" w:rsidRPr="004F3282">
        <w:rPr>
          <w:rFonts w:cs="Times New Roman"/>
          <w:color w:val="000000"/>
          <w:szCs w:val="24"/>
        </w:rPr>
        <w:t xml:space="preserve"> digital and infrastructure</w:t>
      </w:r>
      <w:r w:rsidR="00692741" w:rsidRPr="004F3282">
        <w:rPr>
          <w:rFonts w:cs="Times New Roman"/>
          <w:color w:val="000000"/>
          <w:szCs w:val="24"/>
        </w:rPr>
        <w:t xml:space="preserve"> ministries, </w:t>
      </w:r>
      <w:r w:rsidR="00985B97" w:rsidRPr="004F3282">
        <w:rPr>
          <w:rFonts w:cs="Times New Roman"/>
          <w:color w:val="000000"/>
          <w:szCs w:val="24"/>
        </w:rPr>
        <w:t>telecom operators</w:t>
      </w:r>
      <w:r w:rsidR="00CB6793" w:rsidRPr="004F3282">
        <w:rPr>
          <w:rFonts w:cs="Times New Roman"/>
          <w:color w:val="000000"/>
          <w:szCs w:val="24"/>
        </w:rPr>
        <w:t xml:space="preserve"> and business representatives. </w:t>
      </w:r>
    </w:p>
    <w:p w14:paraId="663AB112" w14:textId="4C3A0BAE" w:rsidR="008B1DD8" w:rsidRPr="004F3282" w:rsidRDefault="00C10F2B" w:rsidP="00572B20">
      <w:pPr>
        <w:autoSpaceDE w:val="0"/>
        <w:autoSpaceDN w:val="0"/>
        <w:adjustRightInd w:val="0"/>
        <w:rPr>
          <w:rFonts w:cs="Times New Roman"/>
          <w:color w:val="000000"/>
          <w:szCs w:val="24"/>
        </w:rPr>
      </w:pPr>
      <w:r w:rsidRPr="004F3282">
        <w:rPr>
          <w:rFonts w:cs="Times New Roman"/>
          <w:color w:val="000000"/>
          <w:szCs w:val="24"/>
        </w:rPr>
        <w:t>The final beneficiaries of this action are citizens and the public and private sector in the Western Balkan region.</w:t>
      </w:r>
    </w:p>
    <w:p w14:paraId="5EE5D690" w14:textId="77777777" w:rsidR="004E2D18" w:rsidRPr="003775F2" w:rsidRDefault="004E2D18" w:rsidP="003775F2">
      <w:pPr>
        <w:pStyle w:val="Heading1"/>
        <w:numPr>
          <w:ilvl w:val="1"/>
          <w:numId w:val="95"/>
        </w:numPr>
      </w:pPr>
      <w:r>
        <w:t>Lessons Learned</w:t>
      </w:r>
    </w:p>
    <w:p w14:paraId="5C55247E" w14:textId="3330C72F" w:rsidR="00276C6A" w:rsidRPr="004F3282" w:rsidRDefault="00276C6A" w:rsidP="007269DE">
      <w:pPr>
        <w:rPr>
          <w:rFonts w:cs="Times New Roman"/>
          <w:color w:val="000000"/>
          <w:szCs w:val="24"/>
        </w:rPr>
      </w:pPr>
      <w:r w:rsidRPr="004F3282">
        <w:rPr>
          <w:rFonts w:cs="Times New Roman"/>
          <w:color w:val="000000" w:themeColor="text1"/>
          <w:szCs w:val="24"/>
        </w:rPr>
        <w:t xml:space="preserve">The EU has been supporting the creation of </w:t>
      </w:r>
      <w:r w:rsidR="00EB3A1C" w:rsidRPr="004F3282">
        <w:rPr>
          <w:rFonts w:cs="Times New Roman"/>
          <w:color w:val="000000" w:themeColor="text1"/>
          <w:szCs w:val="24"/>
        </w:rPr>
        <w:t>a Regional Economic Area (REA) in the Western Balkans since 2020</w:t>
      </w:r>
      <w:r w:rsidR="005534A8" w:rsidRPr="004F3282">
        <w:rPr>
          <w:rFonts w:cs="Times New Roman"/>
          <w:color w:val="000000" w:themeColor="text1"/>
          <w:szCs w:val="24"/>
        </w:rPr>
        <w:t xml:space="preserve">, which then was transformed into </w:t>
      </w:r>
      <w:r w:rsidR="00B210ED" w:rsidRPr="004F3282">
        <w:rPr>
          <w:rFonts w:cs="Times New Roman"/>
          <w:color w:val="000000" w:themeColor="text1"/>
          <w:szCs w:val="24"/>
        </w:rPr>
        <w:t xml:space="preserve">support to the </w:t>
      </w:r>
      <w:r w:rsidR="00013609" w:rsidRPr="004F3282">
        <w:rPr>
          <w:rFonts w:cs="Times New Roman"/>
          <w:color w:val="000000" w:themeColor="text1"/>
          <w:szCs w:val="24"/>
        </w:rPr>
        <w:t>creation of a Common Regional Market, since the indorsement of its Action Plan in Sofia in</w:t>
      </w:r>
      <w:r w:rsidR="00BA4AD4" w:rsidRPr="004F3282">
        <w:rPr>
          <w:rFonts w:cs="Times New Roman"/>
          <w:color w:val="000000" w:themeColor="text1"/>
          <w:szCs w:val="24"/>
        </w:rPr>
        <w:t xml:space="preserve"> November</w:t>
      </w:r>
      <w:r w:rsidR="00013609" w:rsidRPr="004F3282">
        <w:rPr>
          <w:rFonts w:cs="Times New Roman"/>
          <w:color w:val="000000" w:themeColor="text1"/>
          <w:szCs w:val="24"/>
        </w:rPr>
        <w:t xml:space="preserve"> 2020.</w:t>
      </w:r>
    </w:p>
    <w:p w14:paraId="3F7306C7" w14:textId="73A886DB" w:rsidR="00B72FBD" w:rsidRPr="004F3282" w:rsidRDefault="00B72FBD" w:rsidP="007269DE">
      <w:pPr>
        <w:rPr>
          <w:rFonts w:cs="Times New Roman"/>
          <w:color w:val="000000"/>
          <w:szCs w:val="24"/>
        </w:rPr>
      </w:pPr>
    </w:p>
    <w:p w14:paraId="140F08C4" w14:textId="12E855E0" w:rsidR="00BA4AD4" w:rsidRPr="004F3282" w:rsidRDefault="00CE2F54" w:rsidP="007269DE">
      <w:pPr>
        <w:rPr>
          <w:rFonts w:cs="Times New Roman"/>
          <w:color w:val="000000"/>
          <w:szCs w:val="24"/>
        </w:rPr>
      </w:pPr>
      <w:r w:rsidRPr="004F3282">
        <w:rPr>
          <w:rFonts w:cs="Times New Roman"/>
          <w:color w:val="000000" w:themeColor="text1"/>
          <w:szCs w:val="24"/>
        </w:rPr>
        <w:t>Despite the various difficult political blockages encountered</w:t>
      </w:r>
      <w:r w:rsidR="00E57509" w:rsidRPr="004F3282">
        <w:rPr>
          <w:rFonts w:cs="Times New Roman"/>
          <w:color w:val="000000" w:themeColor="text1"/>
          <w:szCs w:val="24"/>
        </w:rPr>
        <w:t>,</w:t>
      </w:r>
      <w:r w:rsidRPr="004F3282">
        <w:rPr>
          <w:rFonts w:cs="Times New Roman"/>
          <w:color w:val="000000" w:themeColor="text1"/>
          <w:szCs w:val="24"/>
        </w:rPr>
        <w:t xml:space="preserve"> the EU funded programme managed by the Regional Cooperation Council </w:t>
      </w:r>
      <w:r w:rsidR="006C2BFB" w:rsidRPr="004F3282">
        <w:rPr>
          <w:rFonts w:cs="Times New Roman"/>
          <w:color w:val="000000" w:themeColor="text1"/>
          <w:szCs w:val="24"/>
        </w:rPr>
        <w:t xml:space="preserve">(RCC) </w:t>
      </w:r>
      <w:r w:rsidR="007866AB" w:rsidRPr="004F3282">
        <w:rPr>
          <w:rFonts w:cs="Times New Roman"/>
          <w:color w:val="000000" w:themeColor="text1"/>
          <w:szCs w:val="24"/>
        </w:rPr>
        <w:t xml:space="preserve">managed to achieve important results through their </w:t>
      </w:r>
      <w:r w:rsidR="00502D4B" w:rsidRPr="004F3282">
        <w:rPr>
          <w:rFonts w:cs="Times New Roman"/>
          <w:color w:val="000000" w:themeColor="text1"/>
          <w:szCs w:val="24"/>
        </w:rPr>
        <w:t xml:space="preserve">coordination </w:t>
      </w:r>
      <w:r w:rsidR="006C2BFB" w:rsidRPr="004F3282">
        <w:rPr>
          <w:rFonts w:cs="Times New Roman"/>
          <w:color w:val="000000" w:themeColor="text1"/>
          <w:szCs w:val="24"/>
        </w:rPr>
        <w:t>role.</w:t>
      </w:r>
    </w:p>
    <w:p w14:paraId="17CB11A5" w14:textId="7AB9045F" w:rsidR="00B72FBD" w:rsidRPr="004F3282" w:rsidRDefault="00B72FBD" w:rsidP="007269DE">
      <w:pPr>
        <w:rPr>
          <w:rFonts w:cs="Times New Roman"/>
          <w:color w:val="000000"/>
          <w:szCs w:val="24"/>
        </w:rPr>
      </w:pPr>
    </w:p>
    <w:p w14:paraId="1487546A" w14:textId="3B20247B" w:rsidR="006C2BFB" w:rsidRPr="004F3282" w:rsidRDefault="006C2BFB" w:rsidP="007269DE">
      <w:pPr>
        <w:rPr>
          <w:rFonts w:cs="Times New Roman"/>
          <w:color w:val="000000"/>
          <w:szCs w:val="24"/>
        </w:rPr>
      </w:pPr>
      <w:r w:rsidRPr="004F3282">
        <w:rPr>
          <w:rFonts w:cs="Times New Roman"/>
          <w:color w:val="000000" w:themeColor="text1"/>
          <w:szCs w:val="24"/>
        </w:rPr>
        <w:t xml:space="preserve">RCC </w:t>
      </w:r>
      <w:r w:rsidR="00BD5502" w:rsidRPr="004F3282">
        <w:rPr>
          <w:rFonts w:cs="Times New Roman"/>
          <w:color w:val="000000" w:themeColor="text1"/>
          <w:szCs w:val="24"/>
        </w:rPr>
        <w:t xml:space="preserve">set up </w:t>
      </w:r>
      <w:r w:rsidR="006D7886" w:rsidRPr="004F3282">
        <w:rPr>
          <w:rFonts w:cs="Times New Roman"/>
          <w:color w:val="000000" w:themeColor="text1"/>
          <w:szCs w:val="24"/>
        </w:rPr>
        <w:t xml:space="preserve">several working groups in the areas covered by the CRM </w:t>
      </w:r>
      <w:r w:rsidR="00E57509" w:rsidRPr="004F3282">
        <w:rPr>
          <w:rFonts w:cs="Times New Roman"/>
          <w:color w:val="000000" w:themeColor="text1"/>
          <w:szCs w:val="24"/>
        </w:rPr>
        <w:t xml:space="preserve">and facilitated discussions among </w:t>
      </w:r>
      <w:r w:rsidR="00630C4E" w:rsidRPr="004F3282">
        <w:rPr>
          <w:rFonts w:cs="Times New Roman"/>
          <w:color w:val="000000" w:themeColor="text1"/>
          <w:szCs w:val="24"/>
        </w:rPr>
        <w:t>representatives of the Western Balkan 6 economies</w:t>
      </w:r>
      <w:r w:rsidR="00FD2D64" w:rsidRPr="004F3282">
        <w:rPr>
          <w:rFonts w:cs="Times New Roman"/>
          <w:color w:val="000000" w:themeColor="text1"/>
          <w:szCs w:val="24"/>
        </w:rPr>
        <w:t>.</w:t>
      </w:r>
      <w:r w:rsidR="00490610" w:rsidRPr="004F3282">
        <w:rPr>
          <w:rFonts w:cs="Times New Roman"/>
          <w:color w:val="000000" w:themeColor="text1"/>
          <w:szCs w:val="24"/>
        </w:rPr>
        <w:t xml:space="preserve"> In addition</w:t>
      </w:r>
      <w:r w:rsidR="002F7600" w:rsidRPr="004F3282">
        <w:rPr>
          <w:rFonts w:cs="Times New Roman"/>
          <w:color w:val="000000" w:themeColor="text1"/>
          <w:szCs w:val="24"/>
        </w:rPr>
        <w:t>,</w:t>
      </w:r>
      <w:r w:rsidR="00490610" w:rsidRPr="004F3282">
        <w:rPr>
          <w:rFonts w:cs="Times New Roman"/>
          <w:color w:val="000000" w:themeColor="text1"/>
          <w:szCs w:val="24"/>
        </w:rPr>
        <w:t xml:space="preserve"> RCC organised several high</w:t>
      </w:r>
      <w:r w:rsidR="00A65908" w:rsidRPr="004F3282">
        <w:rPr>
          <w:rFonts w:cs="Times New Roman"/>
          <w:color w:val="000000" w:themeColor="text1"/>
          <w:szCs w:val="24"/>
        </w:rPr>
        <w:t>-</w:t>
      </w:r>
      <w:r w:rsidR="00490610" w:rsidRPr="004F3282">
        <w:rPr>
          <w:rFonts w:cs="Times New Roman"/>
          <w:color w:val="000000" w:themeColor="text1"/>
          <w:szCs w:val="24"/>
        </w:rPr>
        <w:t xml:space="preserve">level conferences </w:t>
      </w:r>
      <w:r w:rsidR="00BC25D7" w:rsidRPr="004F3282">
        <w:rPr>
          <w:rFonts w:cs="Times New Roman"/>
          <w:color w:val="000000" w:themeColor="text1"/>
          <w:szCs w:val="24"/>
        </w:rPr>
        <w:t xml:space="preserve">such as the Digital </w:t>
      </w:r>
      <w:r w:rsidR="00150CB5" w:rsidRPr="004F3282">
        <w:rPr>
          <w:rFonts w:cs="Times New Roman"/>
          <w:color w:val="000000" w:themeColor="text1"/>
          <w:szCs w:val="24"/>
        </w:rPr>
        <w:t xml:space="preserve">Summit or the Jumbo </w:t>
      </w:r>
      <w:r w:rsidR="00427C83" w:rsidRPr="004F3282">
        <w:rPr>
          <w:rFonts w:cs="Times New Roman"/>
          <w:color w:val="000000" w:themeColor="text1"/>
          <w:szCs w:val="24"/>
        </w:rPr>
        <w:t xml:space="preserve">Security Conference. </w:t>
      </w:r>
    </w:p>
    <w:p w14:paraId="686009EF" w14:textId="2E5AB515" w:rsidR="00B72FBD" w:rsidRPr="004F3282" w:rsidRDefault="00B72FBD" w:rsidP="007269DE">
      <w:pPr>
        <w:rPr>
          <w:rFonts w:cs="Times New Roman"/>
          <w:color w:val="000000"/>
          <w:szCs w:val="24"/>
        </w:rPr>
      </w:pPr>
    </w:p>
    <w:p w14:paraId="66626FFD" w14:textId="6AB6A6F1" w:rsidR="002F7600" w:rsidRPr="004F3282" w:rsidRDefault="00C058F1" w:rsidP="007269DE">
      <w:pPr>
        <w:rPr>
          <w:rFonts w:cs="Times New Roman"/>
          <w:color w:val="000000"/>
          <w:szCs w:val="24"/>
        </w:rPr>
      </w:pPr>
      <w:r w:rsidRPr="004F3282">
        <w:rPr>
          <w:rFonts w:cs="Times New Roman"/>
          <w:color w:val="000000" w:themeColor="text1"/>
          <w:szCs w:val="24"/>
        </w:rPr>
        <w:t xml:space="preserve">RCC managed to achieve </w:t>
      </w:r>
      <w:r w:rsidR="00126103" w:rsidRPr="004F3282">
        <w:rPr>
          <w:rFonts w:cs="Times New Roman"/>
          <w:color w:val="000000" w:themeColor="text1"/>
          <w:szCs w:val="24"/>
        </w:rPr>
        <w:t>the signature of four mobility agreements</w:t>
      </w:r>
      <w:r w:rsidR="003F275D" w:rsidRPr="004F3282">
        <w:rPr>
          <w:rFonts w:cs="Times New Roman"/>
          <w:color w:val="000000" w:themeColor="text1"/>
          <w:szCs w:val="24"/>
        </w:rPr>
        <w:t xml:space="preserve">: two agreements </w:t>
      </w:r>
      <w:r w:rsidR="002C2B6C" w:rsidRPr="004F3282">
        <w:rPr>
          <w:rFonts w:cs="Times New Roman"/>
          <w:color w:val="000000" w:themeColor="text1"/>
          <w:szCs w:val="24"/>
        </w:rPr>
        <w:t xml:space="preserve">on the recognition of professional </w:t>
      </w:r>
      <w:r w:rsidR="00837CA8" w:rsidRPr="004F3282">
        <w:rPr>
          <w:rFonts w:cs="Times New Roman"/>
          <w:color w:val="000000" w:themeColor="text1"/>
          <w:szCs w:val="24"/>
        </w:rPr>
        <w:t>qualifications</w:t>
      </w:r>
      <w:r w:rsidR="002C2B6C" w:rsidRPr="004F3282">
        <w:rPr>
          <w:rFonts w:cs="Times New Roman"/>
          <w:color w:val="000000" w:themeColor="text1"/>
          <w:szCs w:val="24"/>
        </w:rPr>
        <w:t xml:space="preserve"> for seven professions; and agreement </w:t>
      </w:r>
      <w:r w:rsidR="00837CA8" w:rsidRPr="004F3282">
        <w:rPr>
          <w:rFonts w:cs="Times New Roman"/>
          <w:color w:val="000000" w:themeColor="text1"/>
          <w:szCs w:val="24"/>
        </w:rPr>
        <w:t xml:space="preserve">on recognition of higher education qualification and </w:t>
      </w:r>
      <w:r w:rsidR="00574C4D" w:rsidRPr="004F3282">
        <w:rPr>
          <w:rFonts w:cs="Times New Roman"/>
          <w:color w:val="000000" w:themeColor="text1"/>
          <w:szCs w:val="24"/>
        </w:rPr>
        <w:t xml:space="preserve">the agreement on freedom of movement with identity cards. </w:t>
      </w:r>
    </w:p>
    <w:p w14:paraId="4DDC4595" w14:textId="456CEB72" w:rsidR="00B72FBD" w:rsidRPr="004F3282" w:rsidRDefault="00B72FBD" w:rsidP="007269DE">
      <w:pPr>
        <w:rPr>
          <w:rFonts w:cs="Times New Roman"/>
          <w:color w:val="000000"/>
          <w:szCs w:val="24"/>
        </w:rPr>
      </w:pPr>
    </w:p>
    <w:p w14:paraId="5E5DE39F" w14:textId="00107756" w:rsidR="0065655F" w:rsidRPr="004F3282" w:rsidRDefault="0065655F" w:rsidP="007269DE">
      <w:pPr>
        <w:rPr>
          <w:rFonts w:cs="Times New Roman"/>
          <w:color w:val="000000"/>
          <w:szCs w:val="24"/>
        </w:rPr>
      </w:pPr>
      <w:r w:rsidRPr="004F3282">
        <w:rPr>
          <w:rFonts w:cs="Times New Roman"/>
          <w:color w:val="000000" w:themeColor="text1"/>
          <w:szCs w:val="24"/>
        </w:rPr>
        <w:t xml:space="preserve">RCC also brought significant results in the digital </w:t>
      </w:r>
      <w:r w:rsidR="00935F2D" w:rsidRPr="004F3282">
        <w:rPr>
          <w:rFonts w:cs="Times New Roman"/>
          <w:color w:val="000000" w:themeColor="text1"/>
          <w:szCs w:val="24"/>
        </w:rPr>
        <w:t xml:space="preserve">transformation sphere </w:t>
      </w:r>
      <w:r w:rsidR="00C50E6A" w:rsidRPr="004F3282">
        <w:rPr>
          <w:rFonts w:cs="Times New Roman"/>
          <w:color w:val="000000" w:themeColor="text1"/>
          <w:szCs w:val="24"/>
        </w:rPr>
        <w:t xml:space="preserve">by facilitating the agreement </w:t>
      </w:r>
      <w:r w:rsidR="005C1B76" w:rsidRPr="004F3282">
        <w:rPr>
          <w:rFonts w:cs="Times New Roman"/>
          <w:color w:val="000000" w:themeColor="text1"/>
          <w:szCs w:val="24"/>
        </w:rPr>
        <w:t>which</w:t>
      </w:r>
      <w:r w:rsidR="00C50E6A" w:rsidRPr="004F3282">
        <w:rPr>
          <w:rFonts w:cs="Times New Roman"/>
          <w:color w:val="000000" w:themeColor="text1"/>
          <w:szCs w:val="24"/>
        </w:rPr>
        <w:t xml:space="preserve"> brought Roam like </w:t>
      </w:r>
      <w:r w:rsidR="005C1B76" w:rsidRPr="004F3282">
        <w:rPr>
          <w:rFonts w:cs="Times New Roman"/>
          <w:color w:val="000000" w:themeColor="text1"/>
          <w:szCs w:val="24"/>
        </w:rPr>
        <w:t>a</w:t>
      </w:r>
      <w:r w:rsidR="00C50E6A" w:rsidRPr="004F3282">
        <w:rPr>
          <w:rFonts w:cs="Times New Roman"/>
          <w:color w:val="000000" w:themeColor="text1"/>
          <w:szCs w:val="24"/>
        </w:rPr>
        <w:t xml:space="preserve">t </w:t>
      </w:r>
      <w:proofErr w:type="gramStart"/>
      <w:r w:rsidR="00C50E6A" w:rsidRPr="004F3282">
        <w:rPr>
          <w:rFonts w:cs="Times New Roman"/>
          <w:color w:val="000000" w:themeColor="text1"/>
          <w:szCs w:val="24"/>
        </w:rPr>
        <w:t>Home</w:t>
      </w:r>
      <w:proofErr w:type="gramEnd"/>
      <w:r w:rsidR="00C50E6A" w:rsidRPr="004F3282">
        <w:rPr>
          <w:rFonts w:cs="Times New Roman"/>
          <w:color w:val="000000" w:themeColor="text1"/>
          <w:szCs w:val="24"/>
        </w:rPr>
        <w:t xml:space="preserve"> regime in the Western Balkan region and </w:t>
      </w:r>
      <w:r w:rsidR="002812B3" w:rsidRPr="004F3282">
        <w:rPr>
          <w:rFonts w:cs="Times New Roman"/>
          <w:color w:val="000000" w:themeColor="text1"/>
          <w:szCs w:val="24"/>
        </w:rPr>
        <w:t xml:space="preserve">lowering of data roaming tariffs between the EU and WB through a joint declaration. </w:t>
      </w:r>
    </w:p>
    <w:p w14:paraId="6BA29665" w14:textId="6025C47D" w:rsidR="00B72FBD" w:rsidRPr="004F3282" w:rsidRDefault="00B72FBD" w:rsidP="007269DE">
      <w:pPr>
        <w:rPr>
          <w:rFonts w:cs="Times New Roman"/>
          <w:color w:val="000000"/>
          <w:szCs w:val="24"/>
        </w:rPr>
      </w:pPr>
    </w:p>
    <w:p w14:paraId="479F274B" w14:textId="6D252C91" w:rsidR="00B72FBD" w:rsidRPr="004F3282" w:rsidRDefault="27589B79" w:rsidP="4AD9D353">
      <w:pPr>
        <w:rPr>
          <w:rFonts w:cs="Times New Roman"/>
          <w:color w:val="000000"/>
        </w:rPr>
      </w:pPr>
      <w:r w:rsidRPr="2E41943B">
        <w:rPr>
          <w:rFonts w:cs="Times New Roman"/>
          <w:color w:val="000000" w:themeColor="text1"/>
        </w:rPr>
        <w:t xml:space="preserve">RCC’s role was also instrumental </w:t>
      </w:r>
      <w:r w:rsidR="1A6F15DF" w:rsidRPr="2E41943B">
        <w:rPr>
          <w:rFonts w:cs="Times New Roman"/>
          <w:color w:val="000000" w:themeColor="text1"/>
        </w:rPr>
        <w:t>in developing human capital in the region</w:t>
      </w:r>
      <w:r w:rsidR="0910B0DE" w:rsidRPr="2E41943B">
        <w:rPr>
          <w:rFonts w:cs="Times New Roman"/>
          <w:color w:val="000000" w:themeColor="text1"/>
        </w:rPr>
        <w:t xml:space="preserve"> in various fields such as: </w:t>
      </w:r>
      <w:r w:rsidR="267DBA0A" w:rsidRPr="2E41943B">
        <w:rPr>
          <w:rFonts w:cs="Times New Roman"/>
          <w:color w:val="000000" w:themeColor="text1"/>
        </w:rPr>
        <w:t xml:space="preserve">research and innovation, women economic empowerment, </w:t>
      </w:r>
      <w:r w:rsidR="26208F84" w:rsidRPr="004F1899">
        <w:rPr>
          <w:rFonts w:cs="Times New Roman"/>
          <w:color w:val="000000" w:themeColor="text1"/>
        </w:rPr>
        <w:t>employment</w:t>
      </w:r>
      <w:r w:rsidR="26208F84" w:rsidRPr="2E41943B">
        <w:rPr>
          <w:rFonts w:cs="Times New Roman"/>
          <w:color w:val="000000" w:themeColor="text1"/>
        </w:rPr>
        <w:t xml:space="preserve">, </w:t>
      </w:r>
      <w:proofErr w:type="gramStart"/>
      <w:r w:rsidR="26208F84" w:rsidRPr="2E41943B">
        <w:rPr>
          <w:rFonts w:cs="Times New Roman"/>
          <w:color w:val="000000" w:themeColor="text1"/>
        </w:rPr>
        <w:t>youth</w:t>
      </w:r>
      <w:proofErr w:type="gramEnd"/>
      <w:r w:rsidR="26208F84" w:rsidRPr="2E41943B">
        <w:rPr>
          <w:rFonts w:cs="Times New Roman"/>
          <w:color w:val="000000" w:themeColor="text1"/>
        </w:rPr>
        <w:t xml:space="preserve"> and Roma integration, by organising several events</w:t>
      </w:r>
      <w:r w:rsidR="7BD26847" w:rsidRPr="2E41943B">
        <w:rPr>
          <w:rFonts w:cs="Times New Roman"/>
          <w:color w:val="000000" w:themeColor="text1"/>
        </w:rPr>
        <w:t>, recognition awards etc.</w:t>
      </w:r>
    </w:p>
    <w:p w14:paraId="74A9A3EE" w14:textId="180E3502" w:rsidR="00B72FBD" w:rsidRPr="004F3282" w:rsidRDefault="00B72FBD" w:rsidP="007269DE">
      <w:pPr>
        <w:rPr>
          <w:rFonts w:cs="Times New Roman"/>
          <w:color w:val="000000"/>
          <w:szCs w:val="24"/>
        </w:rPr>
      </w:pPr>
    </w:p>
    <w:p w14:paraId="66A71ECD" w14:textId="56ECACC3" w:rsidR="009711D3" w:rsidRPr="004F3282" w:rsidRDefault="0067260E" w:rsidP="007269DE">
      <w:pPr>
        <w:rPr>
          <w:rFonts w:cs="Times New Roman"/>
          <w:color w:val="000000"/>
          <w:szCs w:val="24"/>
        </w:rPr>
      </w:pPr>
      <w:r w:rsidRPr="004F3282">
        <w:rPr>
          <w:rFonts w:cs="Times New Roman"/>
          <w:color w:val="000000"/>
          <w:szCs w:val="24"/>
        </w:rPr>
        <w:t>Despite the persistence of political blockages</w:t>
      </w:r>
      <w:r w:rsidR="007953FE" w:rsidRPr="004F3282">
        <w:rPr>
          <w:rFonts w:cs="Times New Roman"/>
          <w:color w:val="000000"/>
          <w:szCs w:val="24"/>
        </w:rPr>
        <w:t xml:space="preserve"> within CEFTA</w:t>
      </w:r>
      <w:r w:rsidRPr="004F3282">
        <w:rPr>
          <w:rFonts w:cs="Times New Roman"/>
          <w:color w:val="000000"/>
          <w:szCs w:val="24"/>
        </w:rPr>
        <w:t>,</w:t>
      </w:r>
      <w:r w:rsidR="00004873" w:rsidRPr="004F3282">
        <w:rPr>
          <w:rFonts w:cs="Times New Roman"/>
          <w:color w:val="000000"/>
          <w:szCs w:val="24"/>
        </w:rPr>
        <w:t xml:space="preserve"> progress was </w:t>
      </w:r>
      <w:r w:rsidRPr="004F3282">
        <w:rPr>
          <w:rFonts w:cs="Times New Roman"/>
          <w:color w:val="000000"/>
          <w:szCs w:val="24"/>
        </w:rPr>
        <w:t>maintain</w:t>
      </w:r>
      <w:r w:rsidR="00004873" w:rsidRPr="004F3282">
        <w:rPr>
          <w:rFonts w:cs="Times New Roman"/>
          <w:color w:val="000000"/>
          <w:szCs w:val="24"/>
        </w:rPr>
        <w:t>ed</w:t>
      </w:r>
      <w:r w:rsidRPr="004F3282">
        <w:rPr>
          <w:rFonts w:cs="Times New Roman"/>
          <w:color w:val="000000"/>
          <w:szCs w:val="24"/>
        </w:rPr>
        <w:t xml:space="preserve"> at technical</w:t>
      </w:r>
      <w:r w:rsidR="00DB2700" w:rsidRPr="004F3282">
        <w:rPr>
          <w:rFonts w:cs="Times New Roman"/>
          <w:color w:val="000000"/>
          <w:szCs w:val="24"/>
        </w:rPr>
        <w:t xml:space="preserve"> </w:t>
      </w:r>
      <w:r w:rsidR="00C766C0" w:rsidRPr="004F3282">
        <w:rPr>
          <w:rFonts w:cs="Times New Roman"/>
          <w:color w:val="000000"/>
          <w:szCs w:val="24"/>
        </w:rPr>
        <w:t xml:space="preserve">level </w:t>
      </w:r>
      <w:r w:rsidR="00DD0A47" w:rsidRPr="004F3282">
        <w:rPr>
          <w:rFonts w:cs="Times New Roman"/>
          <w:color w:val="000000"/>
          <w:szCs w:val="24"/>
        </w:rPr>
        <w:t>in relation to trade related aspects of the CRM.</w:t>
      </w:r>
      <w:r w:rsidR="00C766C0" w:rsidRPr="004F3282">
        <w:rPr>
          <w:rFonts w:cs="Times New Roman"/>
          <w:color w:val="000000"/>
          <w:szCs w:val="24"/>
        </w:rPr>
        <w:t xml:space="preserve"> </w:t>
      </w:r>
      <w:r w:rsidR="001E431F" w:rsidRPr="004F3282">
        <w:rPr>
          <w:rFonts w:cs="Times New Roman"/>
          <w:color w:val="000000"/>
          <w:szCs w:val="24"/>
        </w:rPr>
        <w:t>The EU-funded programme to CEFTA Secretariat</w:t>
      </w:r>
      <w:r w:rsidR="001E431F" w:rsidRPr="004F3282" w:rsidDel="00FF777C">
        <w:rPr>
          <w:rFonts w:cs="Times New Roman"/>
          <w:color w:val="000000"/>
          <w:szCs w:val="24"/>
        </w:rPr>
        <w:t xml:space="preserve"> </w:t>
      </w:r>
      <w:r w:rsidR="001E431F" w:rsidRPr="004F3282">
        <w:rPr>
          <w:rFonts w:cs="Times New Roman"/>
          <w:color w:val="000000"/>
          <w:szCs w:val="24"/>
        </w:rPr>
        <w:t>facilitated the organisation of r</w:t>
      </w:r>
      <w:r w:rsidR="00DB2700" w:rsidRPr="004F3282">
        <w:rPr>
          <w:rFonts w:cs="Times New Roman"/>
          <w:color w:val="000000"/>
          <w:szCs w:val="24"/>
        </w:rPr>
        <w:t>egional meetings</w:t>
      </w:r>
      <w:r w:rsidR="00A63714" w:rsidRPr="004F3282">
        <w:rPr>
          <w:rFonts w:cs="Times New Roman"/>
          <w:color w:val="000000"/>
          <w:szCs w:val="24"/>
        </w:rPr>
        <w:t xml:space="preserve">, </w:t>
      </w:r>
      <w:r w:rsidR="001D2267" w:rsidRPr="004F3282">
        <w:rPr>
          <w:rFonts w:cs="Times New Roman"/>
          <w:color w:val="000000"/>
          <w:szCs w:val="24"/>
        </w:rPr>
        <w:t xml:space="preserve">supported the </w:t>
      </w:r>
      <w:r w:rsidR="00A63714" w:rsidRPr="004F3282">
        <w:rPr>
          <w:rFonts w:cs="Times New Roman"/>
          <w:color w:val="000000"/>
          <w:szCs w:val="24"/>
        </w:rPr>
        <w:t>monitoring of progress</w:t>
      </w:r>
      <w:r w:rsidRPr="004F3282">
        <w:rPr>
          <w:rFonts w:cs="Times New Roman"/>
          <w:color w:val="000000"/>
          <w:szCs w:val="24"/>
        </w:rPr>
        <w:t xml:space="preserve"> </w:t>
      </w:r>
      <w:r w:rsidR="001E431F" w:rsidRPr="004F3282">
        <w:rPr>
          <w:rFonts w:cs="Times New Roman"/>
          <w:color w:val="000000"/>
          <w:szCs w:val="24"/>
        </w:rPr>
        <w:t xml:space="preserve">and </w:t>
      </w:r>
      <w:r w:rsidR="0023408C" w:rsidRPr="004F3282">
        <w:rPr>
          <w:rFonts w:cs="Times New Roman"/>
          <w:color w:val="000000"/>
          <w:szCs w:val="24"/>
        </w:rPr>
        <w:t xml:space="preserve">allowed </w:t>
      </w:r>
      <w:r w:rsidR="001E431F" w:rsidRPr="004F3282">
        <w:rPr>
          <w:rFonts w:cs="Times New Roman"/>
          <w:color w:val="000000"/>
          <w:szCs w:val="24"/>
        </w:rPr>
        <w:t>the provis</w:t>
      </w:r>
      <w:r w:rsidR="00464950" w:rsidRPr="004F3282">
        <w:rPr>
          <w:rFonts w:cs="Times New Roman"/>
          <w:color w:val="000000"/>
          <w:szCs w:val="24"/>
        </w:rPr>
        <w:t>ion of</w:t>
      </w:r>
      <w:r w:rsidR="003B0F49" w:rsidRPr="004F3282">
        <w:rPr>
          <w:rFonts w:cs="Times New Roman"/>
          <w:color w:val="000000"/>
          <w:szCs w:val="24"/>
        </w:rPr>
        <w:t xml:space="preserve"> technical assistance</w:t>
      </w:r>
      <w:r w:rsidRPr="004F3282">
        <w:rPr>
          <w:rFonts w:cs="Times New Roman"/>
          <w:color w:val="000000"/>
          <w:szCs w:val="24"/>
        </w:rPr>
        <w:t xml:space="preserve"> </w:t>
      </w:r>
      <w:r w:rsidR="005337FD" w:rsidRPr="004F3282">
        <w:rPr>
          <w:rFonts w:cs="Times New Roman"/>
          <w:color w:val="000000"/>
          <w:szCs w:val="24"/>
        </w:rPr>
        <w:t xml:space="preserve">to </w:t>
      </w:r>
      <w:r w:rsidR="0023408C" w:rsidRPr="004F3282">
        <w:rPr>
          <w:rFonts w:cs="Times New Roman"/>
          <w:color w:val="000000"/>
          <w:szCs w:val="24"/>
        </w:rPr>
        <w:t>guide the work of</w:t>
      </w:r>
      <w:r w:rsidR="005337FD" w:rsidRPr="004F3282">
        <w:rPr>
          <w:rFonts w:cs="Times New Roman"/>
          <w:color w:val="000000"/>
          <w:szCs w:val="24"/>
        </w:rPr>
        <w:t xml:space="preserve"> CEFTA structures (i.e. </w:t>
      </w:r>
      <w:hyperlink r:id="rId12" w:history="1">
        <w:r w:rsidR="0079530F" w:rsidRPr="004F3282">
          <w:rPr>
            <w:rStyle w:val="Hyperlink"/>
            <w:rFonts w:cs="Times New Roman"/>
            <w:szCs w:val="24"/>
          </w:rPr>
          <w:t>https://cefta.int/about/cefta-structure-organigram/</w:t>
        </w:r>
      </w:hyperlink>
      <w:r w:rsidR="0079530F" w:rsidRPr="004F3282">
        <w:rPr>
          <w:rFonts w:cs="Times New Roman"/>
          <w:color w:val="000000"/>
          <w:szCs w:val="24"/>
        </w:rPr>
        <w:t>).</w:t>
      </w:r>
      <w:r w:rsidR="003B0F49" w:rsidRPr="004F3282">
        <w:rPr>
          <w:rFonts w:cs="Times New Roman"/>
          <w:color w:val="000000"/>
          <w:szCs w:val="24"/>
        </w:rPr>
        <w:t xml:space="preserve"> This</w:t>
      </w:r>
      <w:r w:rsidR="00A0326A" w:rsidRPr="004F3282">
        <w:rPr>
          <w:rFonts w:cs="Times New Roman"/>
          <w:color w:val="000000"/>
          <w:szCs w:val="24"/>
        </w:rPr>
        <w:t xml:space="preserve"> </w:t>
      </w:r>
      <w:r w:rsidR="00BA79C7" w:rsidRPr="004F3282">
        <w:rPr>
          <w:rFonts w:cs="Times New Roman"/>
          <w:color w:val="000000"/>
          <w:szCs w:val="24"/>
        </w:rPr>
        <w:t>contribute</w:t>
      </w:r>
      <w:r w:rsidR="003B0F49" w:rsidRPr="004F3282">
        <w:rPr>
          <w:rFonts w:cs="Times New Roman"/>
          <w:color w:val="000000"/>
          <w:szCs w:val="24"/>
        </w:rPr>
        <w:t>d</w:t>
      </w:r>
      <w:r w:rsidR="00BA79C7" w:rsidRPr="004F3282">
        <w:rPr>
          <w:rFonts w:cs="Times New Roman"/>
          <w:color w:val="000000"/>
          <w:szCs w:val="24"/>
        </w:rPr>
        <w:t xml:space="preserve"> to</w:t>
      </w:r>
      <w:r w:rsidR="000A505D" w:rsidRPr="004F3282">
        <w:rPr>
          <w:rFonts w:cs="Times New Roman"/>
          <w:color w:val="000000"/>
          <w:szCs w:val="24"/>
        </w:rPr>
        <w:t xml:space="preserve"> </w:t>
      </w:r>
      <w:r w:rsidR="000242FA" w:rsidRPr="004F3282">
        <w:rPr>
          <w:rFonts w:cs="Times New Roman"/>
          <w:color w:val="000000"/>
          <w:szCs w:val="24"/>
        </w:rPr>
        <w:t>advance</w:t>
      </w:r>
      <w:r w:rsidRPr="004F3282">
        <w:rPr>
          <w:rFonts w:cs="Times New Roman"/>
          <w:color w:val="000000"/>
          <w:szCs w:val="24"/>
        </w:rPr>
        <w:t xml:space="preserve"> EU </w:t>
      </w:r>
      <w:r w:rsidRPr="004F3282">
        <w:rPr>
          <w:rFonts w:cs="Times New Roman"/>
          <w:i/>
          <w:color w:val="000000"/>
          <w:szCs w:val="24"/>
        </w:rPr>
        <w:t>acquis</w:t>
      </w:r>
      <w:r w:rsidRPr="004F3282">
        <w:rPr>
          <w:rFonts w:cs="Times New Roman"/>
          <w:color w:val="000000"/>
          <w:szCs w:val="24"/>
        </w:rPr>
        <w:t xml:space="preserve"> alignment</w:t>
      </w:r>
      <w:r w:rsidR="00BA79C7" w:rsidRPr="004F3282">
        <w:rPr>
          <w:rFonts w:cs="Times New Roman"/>
          <w:color w:val="000000"/>
          <w:szCs w:val="24"/>
        </w:rPr>
        <w:t xml:space="preserve"> in</w:t>
      </w:r>
      <w:r w:rsidR="00A8475D" w:rsidRPr="004F3282">
        <w:rPr>
          <w:rFonts w:cs="Times New Roman"/>
          <w:color w:val="000000"/>
          <w:szCs w:val="24"/>
        </w:rPr>
        <w:t xml:space="preserve"> </w:t>
      </w:r>
      <w:r w:rsidR="000242FA" w:rsidRPr="004F3282">
        <w:rPr>
          <w:rFonts w:cs="Times New Roman"/>
          <w:color w:val="000000"/>
          <w:szCs w:val="24"/>
        </w:rPr>
        <w:t xml:space="preserve">the region in </w:t>
      </w:r>
      <w:r w:rsidR="00155E97" w:rsidRPr="004F3282">
        <w:rPr>
          <w:rFonts w:cs="Times New Roman"/>
          <w:color w:val="000000"/>
          <w:szCs w:val="24"/>
        </w:rPr>
        <w:t>different areas</w:t>
      </w:r>
      <w:r w:rsidR="00C331CE" w:rsidRPr="004F3282">
        <w:rPr>
          <w:rFonts w:cs="Times New Roman"/>
          <w:color w:val="000000"/>
          <w:szCs w:val="24"/>
        </w:rPr>
        <w:t xml:space="preserve"> of trade in goods and services</w:t>
      </w:r>
      <w:r w:rsidR="00A8475D" w:rsidRPr="004F3282">
        <w:rPr>
          <w:rFonts w:cs="Times New Roman"/>
          <w:color w:val="000000"/>
          <w:szCs w:val="24"/>
        </w:rPr>
        <w:t xml:space="preserve">. </w:t>
      </w:r>
      <w:r w:rsidR="00287744" w:rsidRPr="004F3282">
        <w:rPr>
          <w:rFonts w:cs="Times New Roman"/>
          <w:color w:val="000000"/>
          <w:szCs w:val="24"/>
        </w:rPr>
        <w:t>Thanks to this support, trade</w:t>
      </w:r>
      <w:r w:rsidR="006D588E" w:rsidRPr="004F3282">
        <w:rPr>
          <w:rFonts w:cs="Times New Roman"/>
          <w:color w:val="000000"/>
          <w:szCs w:val="24"/>
        </w:rPr>
        <w:t xml:space="preserve"> </w:t>
      </w:r>
      <w:r w:rsidR="00804272" w:rsidRPr="004F3282">
        <w:rPr>
          <w:rFonts w:cs="Times New Roman"/>
          <w:color w:val="000000"/>
          <w:szCs w:val="24"/>
        </w:rPr>
        <w:t xml:space="preserve">stakeholders </w:t>
      </w:r>
      <w:r w:rsidR="00036E2B" w:rsidRPr="004F3282">
        <w:rPr>
          <w:rFonts w:cs="Times New Roman"/>
          <w:color w:val="000000"/>
          <w:szCs w:val="24"/>
        </w:rPr>
        <w:t>in CEFTA</w:t>
      </w:r>
      <w:r w:rsidR="00804272" w:rsidRPr="004F3282">
        <w:rPr>
          <w:rFonts w:cs="Times New Roman"/>
          <w:color w:val="000000"/>
          <w:szCs w:val="24"/>
        </w:rPr>
        <w:t xml:space="preserve"> </w:t>
      </w:r>
      <w:r w:rsidR="00F95A64" w:rsidRPr="004F3282">
        <w:rPr>
          <w:rFonts w:cs="Times New Roman"/>
          <w:color w:val="000000"/>
          <w:szCs w:val="24"/>
        </w:rPr>
        <w:t>will be</w:t>
      </w:r>
      <w:r w:rsidR="00C719C0" w:rsidRPr="004F3282">
        <w:rPr>
          <w:rFonts w:cs="Times New Roman"/>
          <w:color w:val="000000"/>
          <w:szCs w:val="24"/>
        </w:rPr>
        <w:t xml:space="preserve"> </w:t>
      </w:r>
      <w:proofErr w:type="gramStart"/>
      <w:r w:rsidR="00C719C0" w:rsidRPr="004F3282">
        <w:rPr>
          <w:rFonts w:cs="Times New Roman"/>
          <w:color w:val="000000"/>
          <w:szCs w:val="24"/>
        </w:rPr>
        <w:t>in a position</w:t>
      </w:r>
      <w:proofErr w:type="gramEnd"/>
      <w:r w:rsidR="00C719C0" w:rsidRPr="004F3282">
        <w:rPr>
          <w:rFonts w:cs="Times New Roman"/>
          <w:color w:val="000000"/>
          <w:szCs w:val="24"/>
        </w:rPr>
        <w:t xml:space="preserve"> to</w:t>
      </w:r>
      <w:r w:rsidR="009711D3" w:rsidRPr="004F3282">
        <w:rPr>
          <w:rFonts w:cs="Times New Roman"/>
          <w:color w:val="000000"/>
          <w:szCs w:val="24"/>
        </w:rPr>
        <w:t xml:space="preserve"> implement key reforms the moment</w:t>
      </w:r>
      <w:r w:rsidR="00B95B11" w:rsidRPr="004F3282">
        <w:rPr>
          <w:rFonts w:cs="Times New Roman"/>
          <w:color w:val="000000"/>
          <w:szCs w:val="24"/>
        </w:rPr>
        <w:t xml:space="preserve"> CEFTA decisions</w:t>
      </w:r>
      <w:r w:rsidR="009711D3" w:rsidRPr="004F3282">
        <w:rPr>
          <w:rFonts w:cs="Times New Roman"/>
          <w:color w:val="000000"/>
          <w:szCs w:val="24"/>
        </w:rPr>
        <w:t xml:space="preserve"> are agreed at political level</w:t>
      </w:r>
      <w:r w:rsidR="00B95B11" w:rsidRPr="004F3282">
        <w:rPr>
          <w:rFonts w:cs="Times New Roman"/>
          <w:color w:val="000000"/>
          <w:szCs w:val="24"/>
        </w:rPr>
        <w:t>.</w:t>
      </w:r>
    </w:p>
    <w:p w14:paraId="42221FDD" w14:textId="77777777" w:rsidR="009711D3" w:rsidRPr="004F3282" w:rsidRDefault="009711D3" w:rsidP="007269DE">
      <w:pPr>
        <w:rPr>
          <w:rFonts w:cs="Times New Roman"/>
          <w:color w:val="000000"/>
          <w:szCs w:val="24"/>
        </w:rPr>
      </w:pPr>
    </w:p>
    <w:p w14:paraId="2BE67837" w14:textId="2A7DC626" w:rsidR="00A55358" w:rsidRPr="004F3282" w:rsidRDefault="00A55358" w:rsidP="00A55358">
      <w:pPr>
        <w:rPr>
          <w:rFonts w:cs="Times New Roman"/>
          <w:color w:val="000000"/>
          <w:szCs w:val="24"/>
        </w:rPr>
      </w:pPr>
      <w:r w:rsidRPr="004F3282">
        <w:rPr>
          <w:rFonts w:cs="Times New Roman"/>
          <w:color w:val="000000"/>
          <w:szCs w:val="24"/>
        </w:rPr>
        <w:t xml:space="preserve">Since its first implementation phase in 2010, the EU-funded Systematic Exchange of Electronic Data (SEED) has enhanced border management in the Western Balkans, fostering cooperation and sharing of </w:t>
      </w:r>
      <w:r w:rsidR="00D465E7" w:rsidRPr="004F3282">
        <w:rPr>
          <w:rFonts w:cs="Times New Roman"/>
          <w:color w:val="000000"/>
          <w:szCs w:val="24"/>
        </w:rPr>
        <w:t xml:space="preserve">pre-arrival </w:t>
      </w:r>
      <w:r w:rsidRPr="004F3282">
        <w:rPr>
          <w:rFonts w:cs="Times New Roman"/>
          <w:color w:val="000000"/>
          <w:szCs w:val="24"/>
        </w:rPr>
        <w:t xml:space="preserve">information </w:t>
      </w:r>
      <w:r w:rsidR="00D465E7" w:rsidRPr="004F3282">
        <w:rPr>
          <w:rFonts w:cs="Times New Roman"/>
          <w:color w:val="000000"/>
          <w:szCs w:val="24"/>
        </w:rPr>
        <w:t>between</w:t>
      </w:r>
      <w:r w:rsidRPr="004F3282">
        <w:rPr>
          <w:rFonts w:cs="Times New Roman"/>
          <w:color w:val="000000"/>
          <w:szCs w:val="24"/>
        </w:rPr>
        <w:t xml:space="preserve"> </w:t>
      </w:r>
      <w:r w:rsidR="00B76860" w:rsidRPr="004F3282">
        <w:rPr>
          <w:rFonts w:cs="Times New Roman"/>
          <w:color w:val="000000"/>
          <w:szCs w:val="24"/>
        </w:rPr>
        <w:t>c</w:t>
      </w:r>
      <w:r w:rsidRPr="004F3282">
        <w:rPr>
          <w:rFonts w:cs="Times New Roman"/>
          <w:color w:val="000000"/>
          <w:szCs w:val="24"/>
        </w:rPr>
        <w:t xml:space="preserve">ustoms </w:t>
      </w:r>
      <w:r w:rsidR="00B76860" w:rsidRPr="004F3282">
        <w:rPr>
          <w:rFonts w:cs="Times New Roman"/>
          <w:color w:val="000000"/>
          <w:szCs w:val="24"/>
        </w:rPr>
        <w:t>a</w:t>
      </w:r>
      <w:r w:rsidRPr="004F3282">
        <w:rPr>
          <w:rFonts w:cs="Times New Roman"/>
          <w:color w:val="000000"/>
          <w:szCs w:val="24"/>
        </w:rPr>
        <w:t>dministrations</w:t>
      </w:r>
      <w:r w:rsidR="00D465E7" w:rsidRPr="004F3282">
        <w:rPr>
          <w:rFonts w:cs="Times New Roman"/>
          <w:color w:val="000000"/>
          <w:szCs w:val="24"/>
        </w:rPr>
        <w:t xml:space="preserve"> to facilitate customs clearance</w:t>
      </w:r>
      <w:r w:rsidRPr="004F3282">
        <w:rPr>
          <w:rFonts w:cs="Times New Roman"/>
          <w:color w:val="000000"/>
          <w:szCs w:val="24"/>
        </w:rPr>
        <w:t xml:space="preserve">. </w:t>
      </w:r>
      <w:r w:rsidR="00911FF5" w:rsidRPr="004F3282">
        <w:rPr>
          <w:rFonts w:cs="Times New Roman"/>
          <w:color w:val="000000"/>
          <w:szCs w:val="24"/>
        </w:rPr>
        <w:t>The EU-funded</w:t>
      </w:r>
      <w:r w:rsidRPr="004F3282">
        <w:rPr>
          <w:rFonts w:cs="Times New Roman"/>
          <w:color w:val="000000"/>
          <w:szCs w:val="24"/>
        </w:rPr>
        <w:t xml:space="preserve"> SEED</w:t>
      </w:r>
      <w:r w:rsidR="00911FF5" w:rsidRPr="004F3282">
        <w:rPr>
          <w:rFonts w:cs="Times New Roman"/>
          <w:color w:val="000000"/>
          <w:szCs w:val="24"/>
        </w:rPr>
        <w:t xml:space="preserve"> programme</w:t>
      </w:r>
      <w:r w:rsidRPr="004F3282">
        <w:rPr>
          <w:rFonts w:cs="Times New Roman"/>
          <w:color w:val="000000"/>
          <w:szCs w:val="24"/>
        </w:rPr>
        <w:t xml:space="preserve"> </w:t>
      </w:r>
      <w:r w:rsidR="009C6968" w:rsidRPr="004F3282">
        <w:rPr>
          <w:rFonts w:cs="Times New Roman"/>
          <w:color w:val="000000"/>
          <w:szCs w:val="24"/>
        </w:rPr>
        <w:t xml:space="preserve">contributed to the reduction of waiting times </w:t>
      </w:r>
      <w:r w:rsidR="0075187C" w:rsidRPr="004F3282">
        <w:rPr>
          <w:rFonts w:cs="Times New Roman"/>
          <w:color w:val="000000"/>
          <w:szCs w:val="24"/>
        </w:rPr>
        <w:t xml:space="preserve">(i.e. </w:t>
      </w:r>
      <w:hyperlink r:id="rId13" w:history="1">
        <w:r w:rsidR="0075187C" w:rsidRPr="004F3282">
          <w:rPr>
            <w:rStyle w:val="Hyperlink"/>
            <w:rFonts w:cs="Times New Roman"/>
            <w:szCs w:val="24"/>
          </w:rPr>
          <w:t>https://greencorridors.cefta.int/greencorridorsanon/dashboard</w:t>
        </w:r>
      </w:hyperlink>
      <w:r w:rsidR="0075187C" w:rsidRPr="004F3282">
        <w:rPr>
          <w:rFonts w:cs="Times New Roman"/>
          <w:color w:val="000000"/>
          <w:szCs w:val="24"/>
        </w:rPr>
        <w:t xml:space="preserve">) </w:t>
      </w:r>
      <w:r w:rsidR="009C6968" w:rsidRPr="004F3282">
        <w:rPr>
          <w:rFonts w:cs="Times New Roman"/>
          <w:color w:val="000000"/>
          <w:szCs w:val="24"/>
        </w:rPr>
        <w:t xml:space="preserve">in the region and reduced </w:t>
      </w:r>
      <w:r w:rsidRPr="004F3282">
        <w:rPr>
          <w:rFonts w:cs="Times New Roman"/>
          <w:color w:val="000000"/>
          <w:szCs w:val="24"/>
        </w:rPr>
        <w:t xml:space="preserve">security risks </w:t>
      </w:r>
      <w:r w:rsidR="009C6968" w:rsidRPr="004F3282">
        <w:rPr>
          <w:rFonts w:cs="Times New Roman"/>
          <w:color w:val="000000"/>
          <w:szCs w:val="24"/>
        </w:rPr>
        <w:t>of trade flows</w:t>
      </w:r>
      <w:r w:rsidRPr="004F3282">
        <w:rPr>
          <w:rFonts w:cs="Times New Roman"/>
          <w:color w:val="000000"/>
          <w:szCs w:val="24"/>
        </w:rPr>
        <w:t>.</w:t>
      </w:r>
      <w:r w:rsidR="0051694A" w:rsidRPr="004F3282">
        <w:rPr>
          <w:rFonts w:cs="Times New Roman"/>
          <w:color w:val="000000"/>
          <w:szCs w:val="24"/>
        </w:rPr>
        <w:t xml:space="preserve"> SEED+ also evolved to supporting additional agencies involved in the clearance of goods, </w:t>
      </w:r>
      <w:proofErr w:type="gramStart"/>
      <w:r w:rsidR="0051694A" w:rsidRPr="004F3282">
        <w:rPr>
          <w:rFonts w:cs="Times New Roman"/>
          <w:color w:val="000000"/>
          <w:szCs w:val="24"/>
        </w:rPr>
        <w:t>in particular through</w:t>
      </w:r>
      <w:proofErr w:type="gramEnd"/>
      <w:r w:rsidR="0051694A" w:rsidRPr="004F3282">
        <w:rPr>
          <w:rFonts w:cs="Times New Roman"/>
          <w:color w:val="000000"/>
          <w:szCs w:val="24"/>
        </w:rPr>
        <w:t xml:space="preserve"> the TRACES NT module for f</w:t>
      </w:r>
      <w:r w:rsidR="00881D2A" w:rsidRPr="004F3282">
        <w:rPr>
          <w:rFonts w:cs="Times New Roman"/>
          <w:color w:val="000000"/>
          <w:szCs w:val="24"/>
        </w:rPr>
        <w:t>r</w:t>
      </w:r>
      <w:r w:rsidR="0051694A" w:rsidRPr="004F3282">
        <w:rPr>
          <w:rFonts w:cs="Times New Roman"/>
          <w:color w:val="000000"/>
          <w:szCs w:val="24"/>
        </w:rPr>
        <w:t xml:space="preserve">uits and vegetables, the database on AEOs, </w:t>
      </w:r>
      <w:r w:rsidR="00E42B8D" w:rsidRPr="004F3282">
        <w:rPr>
          <w:rFonts w:cs="Times New Roman"/>
          <w:color w:val="000000"/>
          <w:szCs w:val="24"/>
        </w:rPr>
        <w:t xml:space="preserve">exchange of information on </w:t>
      </w:r>
      <w:r w:rsidR="0051694A" w:rsidRPr="004F3282">
        <w:rPr>
          <w:rFonts w:cs="Times New Roman"/>
          <w:color w:val="000000"/>
          <w:szCs w:val="24"/>
        </w:rPr>
        <w:t xml:space="preserve">unsafe products, </w:t>
      </w:r>
      <w:r w:rsidR="00E3464E" w:rsidRPr="004F3282">
        <w:rPr>
          <w:rFonts w:cs="Times New Roman"/>
          <w:color w:val="000000"/>
          <w:szCs w:val="24"/>
        </w:rPr>
        <w:t>and statistics</w:t>
      </w:r>
      <w:r w:rsidR="004E0D26" w:rsidRPr="004F3282">
        <w:rPr>
          <w:rFonts w:cs="Times New Roman"/>
          <w:color w:val="000000"/>
          <w:szCs w:val="24"/>
        </w:rPr>
        <w:t xml:space="preserve"> module</w:t>
      </w:r>
      <w:r w:rsidR="00E3464E" w:rsidRPr="004F3282">
        <w:rPr>
          <w:rFonts w:cs="Times New Roman"/>
          <w:color w:val="000000"/>
          <w:szCs w:val="24"/>
        </w:rPr>
        <w:t xml:space="preserve">. </w:t>
      </w:r>
      <w:r w:rsidR="00E07492" w:rsidRPr="004F3282">
        <w:rPr>
          <w:rFonts w:cs="Times New Roman"/>
          <w:color w:val="000000"/>
          <w:szCs w:val="24"/>
        </w:rPr>
        <w:t xml:space="preserve">Lately SEED+ </w:t>
      </w:r>
      <w:r w:rsidR="00E369F7" w:rsidRPr="004F3282">
        <w:rPr>
          <w:rFonts w:cs="Times New Roman"/>
          <w:color w:val="000000"/>
          <w:szCs w:val="24"/>
          <w:lang w:val="en-GB"/>
        </w:rPr>
        <w:t>was extended to all border crossing points within CEFTA including rail and to three EU Member States facilitating CEFTA export</w:t>
      </w:r>
      <w:r w:rsidR="0047396C" w:rsidRPr="004F3282">
        <w:rPr>
          <w:rFonts w:cs="Times New Roman"/>
          <w:color w:val="000000"/>
          <w:szCs w:val="24"/>
          <w:lang w:val="en-GB"/>
        </w:rPr>
        <w:t xml:space="preserve"> (i.e. Green Lanes roadmap</w:t>
      </w:r>
      <w:r w:rsidR="00E21048" w:rsidRPr="004F3282">
        <w:rPr>
          <w:rFonts w:cs="Times New Roman"/>
          <w:color w:val="000000"/>
          <w:szCs w:val="24"/>
          <w:lang w:val="en-GB"/>
        </w:rPr>
        <w:t>, related to the Growth Plan</w:t>
      </w:r>
      <w:r w:rsidR="0047396C" w:rsidRPr="004F3282">
        <w:rPr>
          <w:rFonts w:cs="Times New Roman"/>
          <w:color w:val="000000"/>
          <w:szCs w:val="24"/>
          <w:lang w:val="en-GB"/>
        </w:rPr>
        <w:t>).</w:t>
      </w:r>
    </w:p>
    <w:p w14:paraId="4694A882" w14:textId="77777777" w:rsidR="00A55358" w:rsidRPr="004F3282" w:rsidRDefault="00A55358" w:rsidP="00A55358">
      <w:pPr>
        <w:rPr>
          <w:rFonts w:cs="Times New Roman"/>
          <w:color w:val="000000"/>
          <w:szCs w:val="24"/>
          <w:lang w:val="en-GB"/>
        </w:rPr>
      </w:pPr>
    </w:p>
    <w:p w14:paraId="0F65E430" w14:textId="21DE575C" w:rsidR="00411A25" w:rsidRPr="004F3282" w:rsidRDefault="00A55358" w:rsidP="000D69D1">
      <w:pPr>
        <w:rPr>
          <w:rFonts w:cs="Times New Roman"/>
          <w:color w:val="000000"/>
          <w:szCs w:val="24"/>
        </w:rPr>
      </w:pPr>
      <w:r w:rsidRPr="004F3282">
        <w:rPr>
          <w:rFonts w:cs="Times New Roman"/>
          <w:color w:val="000000"/>
          <w:szCs w:val="24"/>
        </w:rPr>
        <w:t xml:space="preserve">Since 2020 the EU </w:t>
      </w:r>
      <w:r w:rsidR="00570DC3" w:rsidRPr="004F3282">
        <w:rPr>
          <w:rFonts w:cs="Times New Roman"/>
          <w:color w:val="000000"/>
          <w:szCs w:val="24"/>
        </w:rPr>
        <w:t>has been</w:t>
      </w:r>
      <w:r w:rsidRPr="004F3282">
        <w:rPr>
          <w:rFonts w:cs="Times New Roman"/>
          <w:color w:val="000000"/>
          <w:szCs w:val="24"/>
        </w:rPr>
        <w:t xml:space="preserve"> funding</w:t>
      </w:r>
      <w:r w:rsidR="00570DC3" w:rsidRPr="004F3282">
        <w:rPr>
          <w:rFonts w:cs="Times New Roman"/>
          <w:color w:val="000000"/>
          <w:szCs w:val="24"/>
        </w:rPr>
        <w:t xml:space="preserve"> trade regional</w:t>
      </w:r>
      <w:r w:rsidRPr="004F3282">
        <w:rPr>
          <w:rFonts w:cs="Times New Roman"/>
          <w:color w:val="000000"/>
          <w:szCs w:val="24"/>
        </w:rPr>
        <w:t xml:space="preserve"> programme</w:t>
      </w:r>
      <w:r w:rsidR="00570DC3" w:rsidRPr="004F3282">
        <w:rPr>
          <w:rFonts w:cs="Times New Roman"/>
          <w:color w:val="000000"/>
          <w:szCs w:val="24"/>
        </w:rPr>
        <w:t>s</w:t>
      </w:r>
      <w:r w:rsidR="00BC49CB" w:rsidRPr="004F3282">
        <w:rPr>
          <w:rFonts w:cs="Times New Roman"/>
          <w:color w:val="000000"/>
          <w:szCs w:val="24"/>
        </w:rPr>
        <w:t xml:space="preserve"> implemented by</w:t>
      </w:r>
      <w:r w:rsidR="00570DC3" w:rsidRPr="004F3282">
        <w:rPr>
          <w:rFonts w:cs="Times New Roman"/>
          <w:color w:val="000000"/>
          <w:szCs w:val="24"/>
        </w:rPr>
        <w:t xml:space="preserve"> GIZ</w:t>
      </w:r>
      <w:r w:rsidR="00BC49CB" w:rsidRPr="004F3282">
        <w:rPr>
          <w:rFonts w:cs="Times New Roman"/>
          <w:color w:val="000000"/>
          <w:szCs w:val="24"/>
        </w:rPr>
        <w:t xml:space="preserve">: </w:t>
      </w:r>
      <w:r w:rsidRPr="004F3282">
        <w:rPr>
          <w:rFonts w:cs="Times New Roman"/>
          <w:color w:val="000000"/>
          <w:szCs w:val="24"/>
        </w:rPr>
        <w:t xml:space="preserve">“Support to Regional Economic Integration” </w:t>
      </w:r>
      <w:r w:rsidR="001E7D98" w:rsidRPr="004F3282">
        <w:rPr>
          <w:rFonts w:cs="Times New Roman"/>
          <w:color w:val="000000"/>
          <w:szCs w:val="24"/>
        </w:rPr>
        <w:t>programme</w:t>
      </w:r>
      <w:r w:rsidRPr="004F3282">
        <w:rPr>
          <w:rFonts w:cs="Times New Roman"/>
          <w:color w:val="000000"/>
          <w:szCs w:val="24"/>
        </w:rPr>
        <w:t xml:space="preserve"> </w:t>
      </w:r>
      <w:r w:rsidR="008A433F" w:rsidRPr="004F3282">
        <w:rPr>
          <w:rFonts w:cs="Times New Roman"/>
          <w:color w:val="000000"/>
          <w:szCs w:val="24"/>
        </w:rPr>
        <w:t xml:space="preserve">in support </w:t>
      </w:r>
      <w:r w:rsidRPr="004F3282">
        <w:rPr>
          <w:rFonts w:cs="Times New Roman"/>
          <w:color w:val="000000"/>
          <w:szCs w:val="24"/>
        </w:rPr>
        <w:t xml:space="preserve">to </w:t>
      </w:r>
      <w:r w:rsidR="00245783" w:rsidRPr="004F3282">
        <w:rPr>
          <w:rFonts w:cs="Times New Roman"/>
          <w:color w:val="000000"/>
          <w:szCs w:val="24"/>
        </w:rPr>
        <w:t>trade</w:t>
      </w:r>
      <w:r w:rsidRPr="004F3282">
        <w:rPr>
          <w:rFonts w:cs="Times New Roman"/>
          <w:color w:val="000000"/>
          <w:szCs w:val="24"/>
        </w:rPr>
        <w:t xml:space="preserve"> reforms </w:t>
      </w:r>
      <w:r w:rsidR="00245783" w:rsidRPr="004F3282">
        <w:rPr>
          <w:rFonts w:cs="Times New Roman"/>
          <w:color w:val="000000"/>
          <w:szCs w:val="24"/>
        </w:rPr>
        <w:t xml:space="preserve">relating to CEFTA </w:t>
      </w:r>
      <w:r w:rsidRPr="004F3282">
        <w:rPr>
          <w:rFonts w:cs="Times New Roman"/>
          <w:color w:val="000000"/>
          <w:szCs w:val="24"/>
        </w:rPr>
        <w:t>AP5 and AP6</w:t>
      </w:r>
      <w:r w:rsidR="00245783" w:rsidRPr="004F3282">
        <w:rPr>
          <w:rFonts w:cs="Times New Roman"/>
          <w:color w:val="000000"/>
          <w:szCs w:val="24"/>
        </w:rPr>
        <w:t xml:space="preserve"> and GIZ “EU4Business</w:t>
      </w:r>
      <w:r w:rsidR="001955C4" w:rsidRPr="004F3282">
        <w:rPr>
          <w:rFonts w:cs="Times New Roman"/>
          <w:color w:val="000000"/>
          <w:szCs w:val="24"/>
        </w:rPr>
        <w:t>: fostering the Common Regional Market through</w:t>
      </w:r>
      <w:r w:rsidR="00E20468" w:rsidRPr="004F3282">
        <w:rPr>
          <w:rFonts w:cs="Times New Roman"/>
          <w:color w:val="000000"/>
          <w:szCs w:val="24"/>
        </w:rPr>
        <w:t xml:space="preserve"> quality infrastructure and e-commerce”. Both programmes </w:t>
      </w:r>
      <w:r w:rsidR="006823D2" w:rsidRPr="004F3282">
        <w:rPr>
          <w:rFonts w:cs="Times New Roman"/>
          <w:color w:val="000000"/>
          <w:szCs w:val="24"/>
        </w:rPr>
        <w:t>had a very positive impact</w:t>
      </w:r>
      <w:r w:rsidR="00E20468" w:rsidRPr="004F3282">
        <w:rPr>
          <w:rFonts w:cs="Times New Roman"/>
          <w:color w:val="000000"/>
          <w:szCs w:val="24"/>
        </w:rPr>
        <w:t xml:space="preserve"> </w:t>
      </w:r>
      <w:r w:rsidR="00EF15DB" w:rsidRPr="004F3282">
        <w:rPr>
          <w:rFonts w:cs="Times New Roman"/>
          <w:color w:val="000000"/>
          <w:szCs w:val="24"/>
        </w:rPr>
        <w:t>on account of the level of expertise mobili</w:t>
      </w:r>
      <w:r w:rsidR="00C74C8B" w:rsidRPr="004F3282">
        <w:rPr>
          <w:rFonts w:cs="Times New Roman"/>
          <w:color w:val="000000"/>
          <w:szCs w:val="24"/>
        </w:rPr>
        <w:t>s</w:t>
      </w:r>
      <w:r w:rsidR="00EF15DB" w:rsidRPr="004F3282">
        <w:rPr>
          <w:rFonts w:cs="Times New Roman"/>
          <w:color w:val="000000"/>
          <w:szCs w:val="24"/>
        </w:rPr>
        <w:t xml:space="preserve">ed </w:t>
      </w:r>
      <w:r w:rsidR="00E20468" w:rsidRPr="004F3282">
        <w:rPr>
          <w:rFonts w:cs="Times New Roman"/>
          <w:color w:val="000000"/>
          <w:szCs w:val="24"/>
        </w:rPr>
        <w:t xml:space="preserve">and </w:t>
      </w:r>
      <w:r w:rsidR="00D170AF" w:rsidRPr="004F3282">
        <w:rPr>
          <w:rFonts w:cs="Times New Roman"/>
          <w:color w:val="000000"/>
          <w:szCs w:val="24"/>
        </w:rPr>
        <w:t xml:space="preserve">the </w:t>
      </w:r>
      <w:r w:rsidR="00EF15DB" w:rsidRPr="004F3282">
        <w:rPr>
          <w:rFonts w:cs="Times New Roman"/>
          <w:color w:val="000000"/>
          <w:szCs w:val="24"/>
        </w:rPr>
        <w:t xml:space="preserve">independence </w:t>
      </w:r>
      <w:r w:rsidR="00D170AF" w:rsidRPr="004F3282">
        <w:rPr>
          <w:rFonts w:cs="Times New Roman"/>
          <w:color w:val="000000"/>
          <w:szCs w:val="24"/>
        </w:rPr>
        <w:t>of GIZ</w:t>
      </w:r>
      <w:r w:rsidR="00EF15DB" w:rsidRPr="004F3282">
        <w:rPr>
          <w:rFonts w:cs="Times New Roman"/>
          <w:color w:val="000000"/>
          <w:szCs w:val="24"/>
        </w:rPr>
        <w:t xml:space="preserve"> from political </w:t>
      </w:r>
      <w:r w:rsidR="00B8125A" w:rsidRPr="004F3282">
        <w:rPr>
          <w:rFonts w:cs="Times New Roman"/>
          <w:color w:val="000000"/>
          <w:szCs w:val="24"/>
        </w:rPr>
        <w:t>issues in the region. Th</w:t>
      </w:r>
      <w:r w:rsidR="00DD5FE9" w:rsidRPr="004F3282">
        <w:rPr>
          <w:rFonts w:cs="Times New Roman"/>
          <w:color w:val="000000"/>
          <w:szCs w:val="24"/>
        </w:rPr>
        <w:t>e programmes</w:t>
      </w:r>
      <w:r w:rsidR="00B8125A" w:rsidRPr="004F3282">
        <w:rPr>
          <w:rFonts w:cs="Times New Roman"/>
          <w:color w:val="000000"/>
          <w:szCs w:val="24"/>
        </w:rPr>
        <w:t xml:space="preserve"> significantly supported the work agendas put forward by CEFTA Secretariat </w:t>
      </w:r>
      <w:r w:rsidR="005B1557" w:rsidRPr="004F3282">
        <w:rPr>
          <w:rFonts w:cs="Times New Roman"/>
          <w:color w:val="000000"/>
          <w:szCs w:val="24"/>
        </w:rPr>
        <w:t xml:space="preserve">(i.e. validation of AEO programmes, </w:t>
      </w:r>
      <w:r w:rsidR="0005091A" w:rsidRPr="004F3282">
        <w:rPr>
          <w:rFonts w:cs="Times New Roman"/>
          <w:color w:val="000000"/>
          <w:szCs w:val="24"/>
        </w:rPr>
        <w:t>pilot programmes on common</w:t>
      </w:r>
      <w:r w:rsidR="005B1557" w:rsidRPr="004F3282">
        <w:rPr>
          <w:rFonts w:cs="Times New Roman"/>
          <w:color w:val="000000"/>
          <w:szCs w:val="24"/>
        </w:rPr>
        <w:t xml:space="preserve"> risk </w:t>
      </w:r>
      <w:r w:rsidR="0005091A" w:rsidRPr="004F3282">
        <w:rPr>
          <w:rFonts w:cs="Times New Roman"/>
          <w:color w:val="000000"/>
          <w:szCs w:val="24"/>
        </w:rPr>
        <w:t>profiles,</w:t>
      </w:r>
      <w:r w:rsidR="005B1557" w:rsidRPr="004F3282">
        <w:rPr>
          <w:rFonts w:cs="Times New Roman"/>
          <w:color w:val="000000"/>
          <w:szCs w:val="24"/>
        </w:rPr>
        <w:t xml:space="preserve"> </w:t>
      </w:r>
      <w:r w:rsidR="00796BA1" w:rsidRPr="004F3282">
        <w:rPr>
          <w:rFonts w:cs="Times New Roman"/>
          <w:color w:val="000000"/>
          <w:szCs w:val="24"/>
        </w:rPr>
        <w:t xml:space="preserve">trade surveillance tools </w:t>
      </w:r>
      <w:proofErr w:type="gramStart"/>
      <w:r w:rsidR="00796BA1" w:rsidRPr="004F3282">
        <w:rPr>
          <w:rFonts w:cs="Times New Roman"/>
          <w:color w:val="000000"/>
          <w:szCs w:val="24"/>
        </w:rPr>
        <w:t>in the area of</w:t>
      </w:r>
      <w:proofErr w:type="gramEnd"/>
      <w:r w:rsidR="00796BA1" w:rsidRPr="004F3282">
        <w:rPr>
          <w:rFonts w:cs="Times New Roman"/>
          <w:color w:val="000000"/>
          <w:szCs w:val="24"/>
        </w:rPr>
        <w:t xml:space="preserve"> fruits and vegetables, </w:t>
      </w:r>
      <w:r w:rsidR="00462454" w:rsidRPr="004F3282">
        <w:rPr>
          <w:rFonts w:cs="Times New Roman"/>
          <w:color w:val="000000"/>
          <w:szCs w:val="24"/>
        </w:rPr>
        <w:t xml:space="preserve">trade in services agenda and </w:t>
      </w:r>
      <w:r w:rsidR="00A76E0B" w:rsidRPr="004F3282">
        <w:rPr>
          <w:rFonts w:cs="Times New Roman"/>
          <w:color w:val="000000"/>
          <w:szCs w:val="24"/>
        </w:rPr>
        <w:t>advancement of CEFTA e-commerce package)</w:t>
      </w:r>
      <w:r w:rsidR="00BD18ED" w:rsidRPr="004F3282">
        <w:rPr>
          <w:rFonts w:cs="Times New Roman"/>
          <w:color w:val="000000"/>
          <w:szCs w:val="24"/>
        </w:rPr>
        <w:t xml:space="preserve"> and</w:t>
      </w:r>
      <w:r w:rsidR="00B8125A" w:rsidRPr="004F3282">
        <w:rPr>
          <w:rFonts w:cs="Times New Roman"/>
          <w:color w:val="000000"/>
          <w:szCs w:val="24"/>
        </w:rPr>
        <w:t xml:space="preserve"> </w:t>
      </w:r>
      <w:r w:rsidR="005B1557" w:rsidRPr="004F3282">
        <w:rPr>
          <w:rFonts w:cs="Times New Roman"/>
          <w:color w:val="000000"/>
          <w:szCs w:val="24"/>
        </w:rPr>
        <w:t xml:space="preserve">facilitated concrete proposals as part of the Growth Plan (i.e. Single Market Academy for quality infrastructure stakeholders). </w:t>
      </w:r>
    </w:p>
    <w:p w14:paraId="4BA5ABC0" w14:textId="77777777" w:rsidR="00411A25" w:rsidRPr="004F3282" w:rsidRDefault="00411A25" w:rsidP="000D69D1">
      <w:pPr>
        <w:rPr>
          <w:rFonts w:cs="Times New Roman"/>
          <w:color w:val="000000"/>
          <w:szCs w:val="24"/>
        </w:rPr>
      </w:pPr>
    </w:p>
    <w:p w14:paraId="7A683231" w14:textId="69CA3425" w:rsidR="006C60FA" w:rsidRPr="004F3282" w:rsidRDefault="00411A25" w:rsidP="000D69D1">
      <w:pPr>
        <w:rPr>
          <w:rFonts w:cs="Times New Roman"/>
          <w:color w:val="000000"/>
          <w:szCs w:val="24"/>
        </w:rPr>
      </w:pPr>
      <w:r w:rsidRPr="004F3282">
        <w:rPr>
          <w:rFonts w:cs="Times New Roman"/>
          <w:color w:val="000000"/>
          <w:szCs w:val="24"/>
        </w:rPr>
        <w:t xml:space="preserve">Collectively, support </w:t>
      </w:r>
      <w:r w:rsidR="003F3477" w:rsidRPr="004F3282">
        <w:rPr>
          <w:rFonts w:cs="Times New Roman"/>
          <w:color w:val="000000"/>
          <w:szCs w:val="24"/>
        </w:rPr>
        <w:t xml:space="preserve">trade-related </w:t>
      </w:r>
      <w:r w:rsidRPr="004F3282">
        <w:rPr>
          <w:rFonts w:cs="Times New Roman"/>
          <w:color w:val="000000"/>
          <w:szCs w:val="24"/>
        </w:rPr>
        <w:t xml:space="preserve">programmes </w:t>
      </w:r>
      <w:r w:rsidR="00100603" w:rsidRPr="004F3282">
        <w:rPr>
          <w:rFonts w:cs="Times New Roman"/>
          <w:color w:val="000000"/>
          <w:szCs w:val="24"/>
        </w:rPr>
        <w:t>provided a s</w:t>
      </w:r>
      <w:r w:rsidR="00B35900" w:rsidRPr="004F3282">
        <w:rPr>
          <w:rFonts w:cs="Times New Roman"/>
          <w:color w:val="000000"/>
          <w:szCs w:val="24"/>
        </w:rPr>
        <w:t xml:space="preserve">olid base of support </w:t>
      </w:r>
      <w:r w:rsidR="009A60D8" w:rsidRPr="004F3282">
        <w:rPr>
          <w:rFonts w:cs="Times New Roman"/>
          <w:color w:val="000000"/>
          <w:szCs w:val="24"/>
        </w:rPr>
        <w:t xml:space="preserve">to promote CEFTA agenda. </w:t>
      </w:r>
      <w:r w:rsidR="00894C0F" w:rsidRPr="004F3282">
        <w:rPr>
          <w:rFonts w:cs="Times New Roman"/>
          <w:color w:val="000000"/>
          <w:szCs w:val="24"/>
        </w:rPr>
        <w:t xml:space="preserve">However, it was </w:t>
      </w:r>
      <w:r w:rsidR="00F55370" w:rsidRPr="004F3282">
        <w:rPr>
          <w:rFonts w:cs="Times New Roman"/>
          <w:color w:val="000000"/>
          <w:szCs w:val="24"/>
        </w:rPr>
        <w:t>noted</w:t>
      </w:r>
      <w:r w:rsidR="006246F6" w:rsidRPr="004F3282">
        <w:rPr>
          <w:rFonts w:cs="Times New Roman"/>
          <w:color w:val="000000"/>
          <w:szCs w:val="24"/>
        </w:rPr>
        <w:t xml:space="preserve"> that the multitude of </w:t>
      </w:r>
      <w:r w:rsidR="00343EEE" w:rsidRPr="004F3282">
        <w:rPr>
          <w:rFonts w:cs="Times New Roman"/>
          <w:color w:val="000000"/>
          <w:szCs w:val="24"/>
        </w:rPr>
        <w:t xml:space="preserve">contractors </w:t>
      </w:r>
      <w:r w:rsidR="000A71E7" w:rsidRPr="004F3282">
        <w:rPr>
          <w:rFonts w:cs="Times New Roman"/>
          <w:color w:val="000000"/>
          <w:szCs w:val="24"/>
        </w:rPr>
        <w:t xml:space="preserve">involved in delivering support </w:t>
      </w:r>
      <w:r w:rsidR="00343EEE" w:rsidRPr="004F3282">
        <w:rPr>
          <w:rFonts w:cs="Times New Roman"/>
          <w:color w:val="000000"/>
          <w:szCs w:val="24"/>
        </w:rPr>
        <w:t xml:space="preserve">was </w:t>
      </w:r>
      <w:r w:rsidR="00CB3277" w:rsidRPr="004F3282">
        <w:rPr>
          <w:rFonts w:cs="Times New Roman"/>
          <w:color w:val="000000"/>
          <w:szCs w:val="24"/>
        </w:rPr>
        <w:t xml:space="preserve">causing extra time </w:t>
      </w:r>
      <w:r w:rsidR="003875E1" w:rsidRPr="004F3282">
        <w:rPr>
          <w:rFonts w:cs="Times New Roman"/>
          <w:color w:val="000000"/>
          <w:szCs w:val="24"/>
        </w:rPr>
        <w:t xml:space="preserve">and </w:t>
      </w:r>
      <w:r w:rsidR="00CB3277" w:rsidRPr="004F3282">
        <w:rPr>
          <w:rFonts w:cs="Times New Roman"/>
          <w:color w:val="000000"/>
          <w:szCs w:val="24"/>
        </w:rPr>
        <w:t xml:space="preserve">efforts </w:t>
      </w:r>
      <w:r w:rsidR="007D0884" w:rsidRPr="004F3282">
        <w:rPr>
          <w:rFonts w:cs="Times New Roman"/>
          <w:color w:val="000000"/>
          <w:szCs w:val="24"/>
        </w:rPr>
        <w:t>to</w:t>
      </w:r>
      <w:r w:rsidR="00CB3277" w:rsidRPr="004F3282">
        <w:rPr>
          <w:rFonts w:cs="Times New Roman"/>
          <w:color w:val="000000"/>
          <w:szCs w:val="24"/>
        </w:rPr>
        <w:t xml:space="preserve"> the beneficiaries. It is therefore suggested to rationalize </w:t>
      </w:r>
      <w:r w:rsidR="003F3477" w:rsidRPr="004F3282">
        <w:rPr>
          <w:rFonts w:cs="Times New Roman"/>
          <w:color w:val="000000"/>
          <w:szCs w:val="24"/>
        </w:rPr>
        <w:t xml:space="preserve">further trade-related </w:t>
      </w:r>
      <w:r w:rsidR="0002397B" w:rsidRPr="004F3282">
        <w:rPr>
          <w:rFonts w:cs="Times New Roman"/>
          <w:color w:val="000000"/>
          <w:szCs w:val="24"/>
        </w:rPr>
        <w:t>programmes</w:t>
      </w:r>
      <w:r w:rsidR="003F3477" w:rsidRPr="004F3282">
        <w:rPr>
          <w:rFonts w:cs="Times New Roman"/>
          <w:color w:val="000000"/>
          <w:szCs w:val="24"/>
        </w:rPr>
        <w:t xml:space="preserve"> during the 2025-2026 programming phase </w:t>
      </w:r>
      <w:proofErr w:type="gramStart"/>
      <w:r w:rsidR="003F3477" w:rsidRPr="004F3282">
        <w:rPr>
          <w:rFonts w:cs="Times New Roman"/>
          <w:color w:val="000000"/>
          <w:szCs w:val="24"/>
        </w:rPr>
        <w:t>in order to</w:t>
      </w:r>
      <w:proofErr w:type="gramEnd"/>
      <w:r w:rsidR="003F3477" w:rsidRPr="004F3282">
        <w:rPr>
          <w:rFonts w:cs="Times New Roman"/>
          <w:color w:val="000000"/>
          <w:szCs w:val="24"/>
        </w:rPr>
        <w:t xml:space="preserve"> reduce the number of interventions.  </w:t>
      </w:r>
      <w:r w:rsidR="00CB3277" w:rsidRPr="004F3282">
        <w:rPr>
          <w:rFonts w:cs="Times New Roman"/>
          <w:color w:val="000000"/>
          <w:szCs w:val="24"/>
        </w:rPr>
        <w:t xml:space="preserve"> </w:t>
      </w:r>
    </w:p>
    <w:p w14:paraId="60A8A2B2" w14:textId="77777777" w:rsidR="006C60FA" w:rsidRPr="004F3282" w:rsidRDefault="006C60FA" w:rsidP="000D69D1">
      <w:pPr>
        <w:rPr>
          <w:rFonts w:cs="Times New Roman"/>
          <w:color w:val="000000"/>
          <w:szCs w:val="24"/>
        </w:rPr>
      </w:pPr>
    </w:p>
    <w:p w14:paraId="6D50B849" w14:textId="13C03AC5" w:rsidR="003F2750" w:rsidRPr="004F3282" w:rsidRDefault="003311CC" w:rsidP="000D69D1">
      <w:pPr>
        <w:rPr>
          <w:rFonts w:cs="Times New Roman"/>
          <w:color w:val="000000"/>
          <w:szCs w:val="24"/>
        </w:rPr>
      </w:pPr>
      <w:r w:rsidRPr="004F3282">
        <w:rPr>
          <w:rFonts w:cs="Times New Roman"/>
          <w:color w:val="000000"/>
          <w:szCs w:val="24"/>
        </w:rPr>
        <w:t xml:space="preserve">Since </w:t>
      </w:r>
      <w:r w:rsidR="00F5700C" w:rsidRPr="004F3282">
        <w:rPr>
          <w:rFonts w:cs="Times New Roman"/>
          <w:color w:val="000000"/>
          <w:szCs w:val="24"/>
        </w:rPr>
        <w:t>its</w:t>
      </w:r>
      <w:r w:rsidR="00E77AFA" w:rsidRPr="004F3282">
        <w:rPr>
          <w:rFonts w:cs="Times New Roman"/>
          <w:color w:val="000000"/>
          <w:szCs w:val="24"/>
        </w:rPr>
        <w:t xml:space="preserve"> </w:t>
      </w:r>
      <w:r w:rsidR="00832614" w:rsidRPr="004F3282">
        <w:rPr>
          <w:rFonts w:cs="Times New Roman"/>
          <w:color w:val="000000"/>
          <w:szCs w:val="24"/>
        </w:rPr>
        <w:t>first EU</w:t>
      </w:r>
      <w:r w:rsidR="00D470EC" w:rsidRPr="004F3282">
        <w:rPr>
          <w:rFonts w:cs="Times New Roman"/>
          <w:color w:val="000000"/>
          <w:szCs w:val="24"/>
        </w:rPr>
        <w:t xml:space="preserve">-funded </w:t>
      </w:r>
      <w:r w:rsidR="00832614" w:rsidRPr="004F3282">
        <w:rPr>
          <w:rFonts w:cs="Times New Roman"/>
          <w:color w:val="000000"/>
          <w:szCs w:val="24"/>
        </w:rPr>
        <w:t>project</w:t>
      </w:r>
      <w:r w:rsidR="002F0223" w:rsidRPr="004F3282">
        <w:rPr>
          <w:rFonts w:cs="Times New Roman"/>
          <w:color w:val="000000"/>
          <w:szCs w:val="24"/>
        </w:rPr>
        <w:t xml:space="preserve"> </w:t>
      </w:r>
      <w:r w:rsidR="00E77AFA" w:rsidRPr="004F3282">
        <w:rPr>
          <w:rFonts w:cs="Times New Roman"/>
          <w:color w:val="000000"/>
          <w:szCs w:val="24"/>
        </w:rPr>
        <w:t>(end 2019)</w:t>
      </w:r>
      <w:r w:rsidRPr="004F3282">
        <w:rPr>
          <w:rFonts w:cs="Times New Roman"/>
          <w:color w:val="000000"/>
          <w:szCs w:val="24"/>
        </w:rPr>
        <w:t>, t</w:t>
      </w:r>
      <w:r w:rsidR="003F2750" w:rsidRPr="004F3282">
        <w:rPr>
          <w:rFonts w:cs="Times New Roman"/>
          <w:color w:val="000000"/>
          <w:szCs w:val="24"/>
        </w:rPr>
        <w:t xml:space="preserve">he </w:t>
      </w:r>
      <w:r w:rsidR="002337F1" w:rsidRPr="004F3282">
        <w:rPr>
          <w:rFonts w:cs="Times New Roman"/>
          <w:color w:val="000000"/>
          <w:szCs w:val="24"/>
        </w:rPr>
        <w:t xml:space="preserve">WB6 Chamber </w:t>
      </w:r>
      <w:r w:rsidR="00A355BF" w:rsidRPr="004F3282">
        <w:rPr>
          <w:rFonts w:cs="Times New Roman"/>
          <w:color w:val="000000"/>
          <w:szCs w:val="24"/>
        </w:rPr>
        <w:t>Investment</w:t>
      </w:r>
      <w:r w:rsidR="002337F1" w:rsidRPr="004F3282">
        <w:rPr>
          <w:rFonts w:cs="Times New Roman"/>
          <w:color w:val="000000"/>
          <w:szCs w:val="24"/>
        </w:rPr>
        <w:t xml:space="preserve"> Forum</w:t>
      </w:r>
      <w:r w:rsidR="005128DD" w:rsidRPr="004F3282">
        <w:rPr>
          <w:rFonts w:cs="Times New Roman"/>
          <w:color w:val="000000"/>
          <w:szCs w:val="24"/>
        </w:rPr>
        <w:t>,</w:t>
      </w:r>
      <w:r w:rsidR="00152E82" w:rsidRPr="004F3282">
        <w:rPr>
          <w:rFonts w:cs="Times New Roman"/>
          <w:color w:val="000000"/>
          <w:szCs w:val="24"/>
        </w:rPr>
        <w:t xml:space="preserve"> in cooperation with </w:t>
      </w:r>
      <w:r w:rsidR="002337F1" w:rsidRPr="004F3282">
        <w:rPr>
          <w:rFonts w:cs="Times New Roman"/>
          <w:color w:val="000000"/>
          <w:szCs w:val="24"/>
        </w:rPr>
        <w:t>the six WB chambers of commerce</w:t>
      </w:r>
      <w:r w:rsidR="005128DD" w:rsidRPr="004F3282">
        <w:rPr>
          <w:rFonts w:cs="Times New Roman"/>
          <w:color w:val="000000"/>
          <w:szCs w:val="24"/>
        </w:rPr>
        <w:t>,</w:t>
      </w:r>
      <w:r w:rsidR="00C025E8" w:rsidRPr="004F3282">
        <w:rPr>
          <w:rFonts w:cs="Times New Roman"/>
          <w:color w:val="000000"/>
          <w:szCs w:val="24"/>
        </w:rPr>
        <w:t xml:space="preserve"> has strived</w:t>
      </w:r>
      <w:r w:rsidR="00152E82" w:rsidRPr="004F3282">
        <w:rPr>
          <w:rFonts w:cs="Times New Roman"/>
          <w:color w:val="000000"/>
          <w:szCs w:val="24"/>
        </w:rPr>
        <w:t xml:space="preserve"> t</w:t>
      </w:r>
      <w:r w:rsidR="008D5DD3" w:rsidRPr="004F3282">
        <w:rPr>
          <w:rFonts w:cs="Times New Roman"/>
          <w:color w:val="000000"/>
          <w:szCs w:val="24"/>
        </w:rPr>
        <w:t xml:space="preserve">o </w:t>
      </w:r>
      <w:r w:rsidR="00152E82" w:rsidRPr="004F3282">
        <w:rPr>
          <w:rFonts w:cs="Times New Roman"/>
          <w:color w:val="000000"/>
          <w:szCs w:val="24"/>
        </w:rPr>
        <w:t>promote</w:t>
      </w:r>
      <w:r w:rsidR="007F3FA9" w:rsidRPr="004F3282">
        <w:rPr>
          <w:rFonts w:cs="Times New Roman"/>
          <w:color w:val="000000"/>
          <w:szCs w:val="24"/>
        </w:rPr>
        <w:t xml:space="preserve"> </w:t>
      </w:r>
      <w:r w:rsidR="00E41DE3" w:rsidRPr="004F3282">
        <w:rPr>
          <w:rFonts w:cs="Times New Roman"/>
          <w:color w:val="000000"/>
          <w:szCs w:val="24"/>
        </w:rPr>
        <w:t>the establishment of a CRM</w:t>
      </w:r>
      <w:r w:rsidR="00B72FBD" w:rsidRPr="004F3282">
        <w:rPr>
          <w:rFonts w:cs="Times New Roman"/>
          <w:color w:val="000000"/>
          <w:szCs w:val="24"/>
        </w:rPr>
        <w:t>, as well as</w:t>
      </w:r>
      <w:r w:rsidR="000C5055" w:rsidRPr="004F3282">
        <w:rPr>
          <w:rFonts w:cs="Times New Roman"/>
          <w:color w:val="000000"/>
          <w:szCs w:val="24"/>
        </w:rPr>
        <w:t xml:space="preserve"> promote</w:t>
      </w:r>
      <w:r w:rsidR="003168B5" w:rsidRPr="004F3282">
        <w:rPr>
          <w:rFonts w:cs="Times New Roman"/>
          <w:color w:val="000000"/>
          <w:szCs w:val="24"/>
        </w:rPr>
        <w:t xml:space="preserve"> </w:t>
      </w:r>
      <w:r w:rsidR="00F73EA5" w:rsidRPr="004F3282">
        <w:rPr>
          <w:rFonts w:cs="Times New Roman"/>
          <w:color w:val="000000"/>
          <w:szCs w:val="24"/>
        </w:rPr>
        <w:t xml:space="preserve">the services and products of </w:t>
      </w:r>
      <w:r w:rsidR="007F3FA9" w:rsidRPr="004F3282">
        <w:rPr>
          <w:rFonts w:cs="Times New Roman"/>
          <w:color w:val="000000"/>
          <w:szCs w:val="24"/>
        </w:rPr>
        <w:t xml:space="preserve">WB </w:t>
      </w:r>
      <w:r w:rsidR="008F1A89" w:rsidRPr="004F3282">
        <w:rPr>
          <w:rFonts w:cs="Times New Roman"/>
          <w:color w:val="000000"/>
          <w:szCs w:val="24"/>
        </w:rPr>
        <w:t>c</w:t>
      </w:r>
      <w:r w:rsidR="007F3FA9" w:rsidRPr="004F3282">
        <w:rPr>
          <w:rFonts w:cs="Times New Roman"/>
          <w:color w:val="000000"/>
          <w:szCs w:val="24"/>
        </w:rPr>
        <w:t>ompanies</w:t>
      </w:r>
      <w:r w:rsidR="00BD5EA0" w:rsidRPr="004F3282">
        <w:rPr>
          <w:rFonts w:cs="Times New Roman"/>
          <w:color w:val="000000"/>
          <w:szCs w:val="24"/>
        </w:rPr>
        <w:t xml:space="preserve"> -</w:t>
      </w:r>
      <w:r w:rsidR="00CF04C7" w:rsidRPr="004F3282">
        <w:rPr>
          <w:rFonts w:cs="Times New Roman"/>
          <w:color w:val="000000"/>
          <w:szCs w:val="24"/>
        </w:rPr>
        <w:t xml:space="preserve"> </w:t>
      </w:r>
      <w:r w:rsidR="008F1A89" w:rsidRPr="004F3282">
        <w:rPr>
          <w:rFonts w:cs="Times New Roman"/>
          <w:color w:val="000000"/>
          <w:szCs w:val="24"/>
        </w:rPr>
        <w:t>both on the regional and international stage</w:t>
      </w:r>
      <w:r w:rsidR="00BD5EA0" w:rsidRPr="004F3282">
        <w:rPr>
          <w:rFonts w:cs="Times New Roman"/>
          <w:color w:val="000000"/>
          <w:szCs w:val="24"/>
        </w:rPr>
        <w:t xml:space="preserve"> – to expand</w:t>
      </w:r>
      <w:r w:rsidR="00D94C37" w:rsidRPr="004F3282">
        <w:rPr>
          <w:rFonts w:cs="Times New Roman"/>
          <w:color w:val="000000"/>
          <w:szCs w:val="24"/>
        </w:rPr>
        <w:t xml:space="preserve"> the links</w:t>
      </w:r>
      <w:r w:rsidR="009D1305" w:rsidRPr="004F3282">
        <w:rPr>
          <w:rFonts w:cs="Times New Roman"/>
          <w:color w:val="000000"/>
          <w:szCs w:val="24"/>
        </w:rPr>
        <w:t xml:space="preserve"> between companies and suppliers</w:t>
      </w:r>
      <w:r w:rsidR="00EE658E" w:rsidRPr="004F3282">
        <w:rPr>
          <w:rFonts w:cs="Times New Roman"/>
          <w:color w:val="000000"/>
          <w:szCs w:val="24"/>
        </w:rPr>
        <w:t xml:space="preserve"> </w:t>
      </w:r>
      <w:r w:rsidR="003C5470" w:rsidRPr="004F3282">
        <w:rPr>
          <w:rFonts w:cs="Times New Roman"/>
          <w:color w:val="000000"/>
          <w:szCs w:val="24"/>
        </w:rPr>
        <w:t xml:space="preserve">There is </w:t>
      </w:r>
      <w:r w:rsidR="00763AC5" w:rsidRPr="004F3282">
        <w:rPr>
          <w:rFonts w:cs="Times New Roman"/>
          <w:color w:val="000000"/>
          <w:szCs w:val="24"/>
        </w:rPr>
        <w:t xml:space="preserve">a </w:t>
      </w:r>
      <w:r w:rsidR="003C5470" w:rsidRPr="004F3282">
        <w:rPr>
          <w:rFonts w:cs="Times New Roman"/>
          <w:color w:val="000000"/>
          <w:szCs w:val="24"/>
        </w:rPr>
        <w:t>clear demonstration that project</w:t>
      </w:r>
      <w:r w:rsidR="007448FB" w:rsidRPr="004F3282">
        <w:rPr>
          <w:rFonts w:cs="Times New Roman"/>
          <w:color w:val="000000"/>
          <w:szCs w:val="24"/>
        </w:rPr>
        <w:t xml:space="preserve"> activities ha</w:t>
      </w:r>
      <w:r w:rsidR="003C5470" w:rsidRPr="004F3282">
        <w:rPr>
          <w:rFonts w:cs="Times New Roman"/>
          <w:color w:val="000000"/>
          <w:szCs w:val="24"/>
        </w:rPr>
        <w:t>ve</w:t>
      </w:r>
      <w:r w:rsidR="007448FB" w:rsidRPr="004F3282">
        <w:rPr>
          <w:rFonts w:cs="Times New Roman"/>
          <w:color w:val="000000"/>
          <w:szCs w:val="24"/>
        </w:rPr>
        <w:t xml:space="preserve"> </w:t>
      </w:r>
      <w:r w:rsidR="00C82D18" w:rsidRPr="004F3282">
        <w:rPr>
          <w:rFonts w:cs="Times New Roman"/>
          <w:color w:val="000000"/>
          <w:szCs w:val="24"/>
        </w:rPr>
        <w:t>enhanced</w:t>
      </w:r>
      <w:r w:rsidR="007A4A88" w:rsidRPr="004F3282">
        <w:rPr>
          <w:rFonts w:cs="Times New Roman"/>
          <w:color w:val="000000"/>
          <w:szCs w:val="24"/>
        </w:rPr>
        <w:t xml:space="preserve"> inter-chamber cooperation</w:t>
      </w:r>
      <w:r w:rsidR="00E33615" w:rsidRPr="004F3282">
        <w:rPr>
          <w:rFonts w:cs="Times New Roman"/>
          <w:color w:val="000000"/>
          <w:szCs w:val="24"/>
        </w:rPr>
        <w:t xml:space="preserve"> </w:t>
      </w:r>
      <w:r w:rsidR="00763AC5" w:rsidRPr="004F3282">
        <w:rPr>
          <w:rFonts w:cs="Times New Roman"/>
          <w:color w:val="000000"/>
          <w:szCs w:val="24"/>
        </w:rPr>
        <w:t>– including between the Serbia and Kosov</w:t>
      </w:r>
      <w:r w:rsidR="005C5114" w:rsidRPr="004F3282">
        <w:rPr>
          <w:rFonts w:cs="Times New Roman"/>
          <w:color w:val="000000"/>
          <w:szCs w:val="24"/>
        </w:rPr>
        <w:t>o</w:t>
      </w:r>
      <w:r w:rsidR="00763AC5" w:rsidRPr="004F3282">
        <w:rPr>
          <w:rFonts w:cs="Times New Roman"/>
          <w:color w:val="000000"/>
          <w:szCs w:val="24"/>
        </w:rPr>
        <w:t xml:space="preserve"> chambers</w:t>
      </w:r>
      <w:r w:rsidR="000F290C" w:rsidRPr="004F3282">
        <w:rPr>
          <w:rFonts w:cs="Times New Roman"/>
          <w:color w:val="000000"/>
          <w:szCs w:val="24"/>
        </w:rPr>
        <w:t xml:space="preserve"> (</w:t>
      </w:r>
      <w:r w:rsidR="005C5114" w:rsidRPr="004F3282">
        <w:rPr>
          <w:rFonts w:cs="Times New Roman"/>
          <w:color w:val="000000"/>
          <w:szCs w:val="24"/>
        </w:rPr>
        <w:t xml:space="preserve">a </w:t>
      </w:r>
      <w:r w:rsidR="00BE3BAC" w:rsidRPr="004F3282">
        <w:rPr>
          <w:rFonts w:cs="Times New Roman"/>
          <w:color w:val="000000"/>
          <w:szCs w:val="24"/>
        </w:rPr>
        <w:t>specific</w:t>
      </w:r>
      <w:r w:rsidR="00A94B5C" w:rsidRPr="004F3282">
        <w:rPr>
          <w:rFonts w:cs="Times New Roman"/>
          <w:color w:val="000000"/>
          <w:szCs w:val="24"/>
        </w:rPr>
        <w:t xml:space="preserve"> p</w:t>
      </w:r>
      <w:r w:rsidR="005C5114" w:rsidRPr="004F3282">
        <w:rPr>
          <w:rFonts w:cs="Times New Roman"/>
          <w:color w:val="000000"/>
          <w:szCs w:val="24"/>
        </w:rPr>
        <w:t>roject activity</w:t>
      </w:r>
      <w:r w:rsidR="00A94B5C" w:rsidRPr="004F3282">
        <w:rPr>
          <w:rFonts w:cs="Times New Roman"/>
          <w:color w:val="000000"/>
          <w:szCs w:val="24"/>
        </w:rPr>
        <w:t>) -</w:t>
      </w:r>
      <w:r w:rsidR="00763AC5" w:rsidRPr="004F3282">
        <w:rPr>
          <w:rFonts w:cs="Times New Roman"/>
          <w:color w:val="000000"/>
          <w:szCs w:val="24"/>
        </w:rPr>
        <w:t xml:space="preserve"> </w:t>
      </w:r>
      <w:r w:rsidR="00E33615" w:rsidRPr="004F3282">
        <w:rPr>
          <w:rFonts w:cs="Times New Roman"/>
          <w:color w:val="000000"/>
          <w:szCs w:val="24"/>
        </w:rPr>
        <w:t>and a sense of joint responsibility</w:t>
      </w:r>
      <w:r w:rsidR="00EF5BE0" w:rsidRPr="004F3282">
        <w:rPr>
          <w:rFonts w:cs="Times New Roman"/>
          <w:color w:val="000000"/>
          <w:szCs w:val="24"/>
        </w:rPr>
        <w:t xml:space="preserve"> to</w:t>
      </w:r>
      <w:r w:rsidR="00E11126" w:rsidRPr="004F3282">
        <w:rPr>
          <w:rFonts w:cs="Times New Roman"/>
          <w:color w:val="000000"/>
          <w:szCs w:val="24"/>
        </w:rPr>
        <w:t xml:space="preserve"> achieve project goals</w:t>
      </w:r>
      <w:r w:rsidR="001C1503" w:rsidRPr="004F3282">
        <w:rPr>
          <w:rFonts w:cs="Times New Roman"/>
          <w:color w:val="000000"/>
          <w:szCs w:val="24"/>
        </w:rPr>
        <w:t xml:space="preserve">. </w:t>
      </w:r>
      <w:r w:rsidR="00AB5101" w:rsidRPr="004F3282">
        <w:rPr>
          <w:rFonts w:cs="Times New Roman"/>
          <w:color w:val="000000"/>
          <w:szCs w:val="24"/>
        </w:rPr>
        <w:t xml:space="preserve">Awareness of </w:t>
      </w:r>
      <w:r w:rsidR="000D544A" w:rsidRPr="004F3282">
        <w:rPr>
          <w:rFonts w:cs="Times New Roman"/>
          <w:color w:val="000000"/>
          <w:szCs w:val="24"/>
        </w:rPr>
        <w:t xml:space="preserve">WB6 CIF </w:t>
      </w:r>
      <w:r w:rsidR="00E42F6F" w:rsidRPr="004F3282">
        <w:rPr>
          <w:rFonts w:cs="Times New Roman"/>
          <w:color w:val="000000"/>
          <w:szCs w:val="24"/>
        </w:rPr>
        <w:t>services has increased</w:t>
      </w:r>
      <w:r w:rsidR="003B4E58" w:rsidRPr="004F3282">
        <w:rPr>
          <w:rFonts w:cs="Times New Roman"/>
          <w:color w:val="000000"/>
          <w:szCs w:val="24"/>
        </w:rPr>
        <w:t xml:space="preserve"> (</w:t>
      </w:r>
      <w:r w:rsidR="00E42F6F" w:rsidRPr="004F3282">
        <w:rPr>
          <w:rFonts w:cs="Times New Roman"/>
          <w:color w:val="000000"/>
          <w:szCs w:val="24"/>
        </w:rPr>
        <w:t xml:space="preserve">being recognised as </w:t>
      </w:r>
      <w:r w:rsidR="00E54B5D" w:rsidRPr="004F3282">
        <w:rPr>
          <w:rFonts w:cs="Times New Roman"/>
          <w:color w:val="000000"/>
          <w:szCs w:val="24"/>
        </w:rPr>
        <w:t>the ‘joint voice’ of business in the region</w:t>
      </w:r>
      <w:r w:rsidR="000F38A7" w:rsidRPr="004F3282">
        <w:rPr>
          <w:rFonts w:cs="Times New Roman"/>
          <w:color w:val="000000"/>
          <w:szCs w:val="24"/>
        </w:rPr>
        <w:t>) and p</w:t>
      </w:r>
      <w:r w:rsidR="0016055F" w:rsidRPr="004F3282">
        <w:rPr>
          <w:rFonts w:cs="Times New Roman"/>
          <w:color w:val="000000"/>
          <w:szCs w:val="24"/>
        </w:rPr>
        <w:t>resenting</w:t>
      </w:r>
      <w:r w:rsidR="00132253" w:rsidRPr="004F3282">
        <w:rPr>
          <w:rFonts w:cs="Times New Roman"/>
          <w:color w:val="000000"/>
          <w:szCs w:val="24"/>
        </w:rPr>
        <w:t xml:space="preserve"> WB companies </w:t>
      </w:r>
      <w:r w:rsidR="00E55AF2" w:rsidRPr="004F3282">
        <w:rPr>
          <w:rFonts w:cs="Times New Roman"/>
          <w:color w:val="000000"/>
          <w:szCs w:val="24"/>
        </w:rPr>
        <w:t>jointly</w:t>
      </w:r>
      <w:r w:rsidR="00132253" w:rsidRPr="004F3282">
        <w:rPr>
          <w:rFonts w:cs="Times New Roman"/>
          <w:color w:val="000000"/>
          <w:szCs w:val="24"/>
        </w:rPr>
        <w:t xml:space="preserve"> at a WB6 CIF stand at trade f</w:t>
      </w:r>
      <w:r w:rsidR="00E55AF2" w:rsidRPr="004F3282">
        <w:rPr>
          <w:rFonts w:cs="Times New Roman"/>
          <w:color w:val="000000"/>
          <w:szCs w:val="24"/>
        </w:rPr>
        <w:t>air</w:t>
      </w:r>
      <w:r w:rsidR="00132253" w:rsidRPr="004F3282">
        <w:rPr>
          <w:rFonts w:cs="Times New Roman"/>
          <w:color w:val="000000"/>
          <w:szCs w:val="24"/>
        </w:rPr>
        <w:t>s etc</w:t>
      </w:r>
      <w:r w:rsidR="00E55AF2" w:rsidRPr="004F3282">
        <w:rPr>
          <w:rFonts w:cs="Times New Roman"/>
          <w:color w:val="000000"/>
          <w:szCs w:val="24"/>
        </w:rPr>
        <w:t xml:space="preserve"> helps</w:t>
      </w:r>
      <w:r w:rsidR="0016055F" w:rsidRPr="004F3282">
        <w:rPr>
          <w:rFonts w:cs="Times New Roman"/>
          <w:color w:val="000000"/>
          <w:szCs w:val="24"/>
        </w:rPr>
        <w:t xml:space="preserve"> </w:t>
      </w:r>
      <w:r w:rsidR="00417196" w:rsidRPr="004F3282">
        <w:rPr>
          <w:rFonts w:cs="Times New Roman"/>
          <w:color w:val="000000"/>
          <w:szCs w:val="24"/>
        </w:rPr>
        <w:t xml:space="preserve">boost the </w:t>
      </w:r>
      <w:proofErr w:type="gramStart"/>
      <w:r w:rsidR="00417196" w:rsidRPr="004F3282">
        <w:rPr>
          <w:rFonts w:cs="Times New Roman"/>
          <w:color w:val="000000"/>
          <w:szCs w:val="24"/>
        </w:rPr>
        <w:t>region as a whole</w:t>
      </w:r>
      <w:proofErr w:type="gramEnd"/>
      <w:r w:rsidR="00417196" w:rsidRPr="004F3282">
        <w:rPr>
          <w:rFonts w:cs="Times New Roman"/>
          <w:color w:val="000000"/>
          <w:szCs w:val="24"/>
        </w:rPr>
        <w:t xml:space="preserve">. </w:t>
      </w:r>
      <w:r w:rsidR="00DD7FBC" w:rsidRPr="004F3282">
        <w:rPr>
          <w:rFonts w:cs="Times New Roman"/>
          <w:color w:val="000000"/>
          <w:szCs w:val="24"/>
        </w:rPr>
        <w:t xml:space="preserve">Winning </w:t>
      </w:r>
      <w:r w:rsidR="00F84FDE" w:rsidRPr="004F3282">
        <w:rPr>
          <w:rFonts w:cs="Times New Roman"/>
          <w:color w:val="000000"/>
          <w:szCs w:val="24"/>
        </w:rPr>
        <w:t xml:space="preserve">over increased interest from EU and international </w:t>
      </w:r>
      <w:r w:rsidR="006825E0" w:rsidRPr="004F3282">
        <w:rPr>
          <w:rFonts w:cs="Times New Roman"/>
          <w:color w:val="000000"/>
          <w:szCs w:val="24"/>
        </w:rPr>
        <w:t>companies</w:t>
      </w:r>
      <w:r w:rsidR="003168B5" w:rsidRPr="004F3282">
        <w:rPr>
          <w:rFonts w:cs="Times New Roman"/>
          <w:color w:val="000000"/>
          <w:szCs w:val="24"/>
        </w:rPr>
        <w:t>,</w:t>
      </w:r>
      <w:r w:rsidR="00DD7FBC" w:rsidRPr="004F3282">
        <w:rPr>
          <w:rFonts w:cs="Times New Roman"/>
          <w:color w:val="000000"/>
          <w:szCs w:val="24"/>
        </w:rPr>
        <w:t xml:space="preserve"> </w:t>
      </w:r>
      <w:r w:rsidR="003168B5" w:rsidRPr="004F3282">
        <w:rPr>
          <w:rFonts w:cs="Times New Roman"/>
          <w:color w:val="000000"/>
          <w:szCs w:val="24"/>
        </w:rPr>
        <w:t xml:space="preserve">however, </w:t>
      </w:r>
      <w:r w:rsidR="00DD7FBC" w:rsidRPr="004F3282">
        <w:rPr>
          <w:rFonts w:cs="Times New Roman"/>
          <w:color w:val="000000"/>
          <w:szCs w:val="24"/>
        </w:rPr>
        <w:t>remains a challenge</w:t>
      </w:r>
      <w:r w:rsidR="00BA1FC4" w:rsidRPr="004F3282">
        <w:rPr>
          <w:rFonts w:cs="Times New Roman"/>
          <w:color w:val="000000"/>
          <w:szCs w:val="24"/>
        </w:rPr>
        <w:t xml:space="preserve">.  </w:t>
      </w:r>
      <w:r w:rsidR="00B75B29" w:rsidRPr="004F3282">
        <w:rPr>
          <w:rFonts w:cs="Times New Roman"/>
          <w:color w:val="000000"/>
          <w:szCs w:val="24"/>
        </w:rPr>
        <w:t>Also, w</w:t>
      </w:r>
      <w:r w:rsidR="00417196" w:rsidRPr="004F3282">
        <w:rPr>
          <w:rFonts w:cs="Times New Roman"/>
          <w:color w:val="000000"/>
          <w:szCs w:val="24"/>
        </w:rPr>
        <w:t xml:space="preserve">hile </w:t>
      </w:r>
      <w:r w:rsidR="00417196">
        <w:rPr>
          <w:rFonts w:cs="Times New Roman"/>
          <w:color w:val="0D0D0D" w:themeColor="text1" w:themeTint="F2"/>
          <w:szCs w:val="24"/>
        </w:rPr>
        <w:t>commitment to the goal of supporting the CRM activities remains solid</w:t>
      </w:r>
      <w:r w:rsidR="00CC471D">
        <w:rPr>
          <w:rFonts w:cs="Times New Roman"/>
          <w:color w:val="0D0D0D" w:themeColor="text1" w:themeTint="F2"/>
          <w:szCs w:val="24"/>
        </w:rPr>
        <w:t xml:space="preserve"> overall</w:t>
      </w:r>
      <w:r w:rsidR="002E458A">
        <w:rPr>
          <w:rFonts w:cs="Times New Roman"/>
          <w:color w:val="0D0D0D" w:themeColor="text1" w:themeTint="F2"/>
          <w:szCs w:val="24"/>
        </w:rPr>
        <w:t xml:space="preserve">, </w:t>
      </w:r>
      <w:r w:rsidR="006C60FA">
        <w:rPr>
          <w:rFonts w:cs="Times New Roman"/>
          <w:color w:val="0D0D0D" w:themeColor="text1" w:themeTint="F2"/>
          <w:szCs w:val="24"/>
        </w:rPr>
        <w:t>issues</w:t>
      </w:r>
      <w:r w:rsidR="00DD7FBC">
        <w:rPr>
          <w:rFonts w:cs="Times New Roman"/>
          <w:color w:val="0D0D0D" w:themeColor="text1" w:themeTint="F2"/>
          <w:szCs w:val="24"/>
        </w:rPr>
        <w:t xml:space="preserve"> of</w:t>
      </w:r>
      <w:r w:rsidR="003A4489">
        <w:rPr>
          <w:rFonts w:cs="Times New Roman"/>
          <w:color w:val="0D0D0D" w:themeColor="text1" w:themeTint="F2"/>
          <w:szCs w:val="24"/>
        </w:rPr>
        <w:t xml:space="preserve"> limited </w:t>
      </w:r>
      <w:r w:rsidR="002E458A">
        <w:rPr>
          <w:rFonts w:cs="Times New Roman"/>
          <w:color w:val="0D0D0D" w:themeColor="text1" w:themeTint="F2"/>
          <w:szCs w:val="24"/>
        </w:rPr>
        <w:t>h</w:t>
      </w:r>
      <w:r w:rsidR="00EE658E" w:rsidRPr="001B5496">
        <w:rPr>
          <w:rFonts w:cs="Times New Roman"/>
          <w:color w:val="0D0D0D" w:themeColor="text1" w:themeTint="F2"/>
          <w:szCs w:val="24"/>
        </w:rPr>
        <w:t xml:space="preserve">uman resource/financial capacities </w:t>
      </w:r>
      <w:r w:rsidR="0001726A">
        <w:rPr>
          <w:rFonts w:cs="Times New Roman"/>
          <w:color w:val="0D0D0D" w:themeColor="text1" w:themeTint="F2"/>
          <w:szCs w:val="24"/>
        </w:rPr>
        <w:t>(e.g. Albania</w:t>
      </w:r>
      <w:r w:rsidR="00DD7FBC">
        <w:rPr>
          <w:rFonts w:cs="Times New Roman"/>
          <w:color w:val="0D0D0D" w:themeColor="text1" w:themeTint="F2"/>
          <w:szCs w:val="24"/>
        </w:rPr>
        <w:t xml:space="preserve"> chambers</w:t>
      </w:r>
      <w:r w:rsidR="0001726A">
        <w:rPr>
          <w:rFonts w:cs="Times New Roman"/>
          <w:color w:val="0D0D0D" w:themeColor="text1" w:themeTint="F2"/>
          <w:szCs w:val="24"/>
        </w:rPr>
        <w:t xml:space="preserve">) </w:t>
      </w:r>
      <w:r w:rsidR="00EE658E">
        <w:rPr>
          <w:rFonts w:cs="Times New Roman"/>
          <w:color w:val="0D0D0D" w:themeColor="text1" w:themeTint="F2"/>
          <w:szCs w:val="24"/>
        </w:rPr>
        <w:t>can som</w:t>
      </w:r>
      <w:r w:rsidR="009176ED">
        <w:rPr>
          <w:rFonts w:cs="Times New Roman"/>
          <w:color w:val="0D0D0D" w:themeColor="text1" w:themeTint="F2"/>
          <w:szCs w:val="24"/>
        </w:rPr>
        <w:t xml:space="preserve">etimes be an issue when it comes to </w:t>
      </w:r>
      <w:r w:rsidR="00916E9E">
        <w:rPr>
          <w:rFonts w:cs="Times New Roman"/>
          <w:color w:val="0D0D0D" w:themeColor="text1" w:themeTint="F2"/>
          <w:szCs w:val="24"/>
        </w:rPr>
        <w:t>physical participation</w:t>
      </w:r>
      <w:r w:rsidR="00E11126">
        <w:rPr>
          <w:rFonts w:cs="Times New Roman"/>
          <w:color w:val="0D0D0D" w:themeColor="text1" w:themeTint="F2"/>
          <w:szCs w:val="24"/>
        </w:rPr>
        <w:t xml:space="preserve"> at meetings</w:t>
      </w:r>
      <w:r w:rsidR="00916E9E">
        <w:rPr>
          <w:rFonts w:cs="Times New Roman"/>
          <w:color w:val="0D0D0D" w:themeColor="text1" w:themeTint="F2"/>
          <w:szCs w:val="24"/>
        </w:rPr>
        <w:t xml:space="preserve"> o</w:t>
      </w:r>
      <w:r w:rsidR="00C41F4B">
        <w:rPr>
          <w:rFonts w:cs="Times New Roman"/>
          <w:color w:val="0D0D0D" w:themeColor="text1" w:themeTint="F2"/>
          <w:szCs w:val="24"/>
        </w:rPr>
        <w:t xml:space="preserve">r </w:t>
      </w:r>
      <w:r w:rsidR="00653D8F">
        <w:rPr>
          <w:rFonts w:cs="Times New Roman"/>
          <w:color w:val="0D0D0D" w:themeColor="text1" w:themeTint="F2"/>
          <w:szCs w:val="24"/>
        </w:rPr>
        <w:t xml:space="preserve">achieving maximum </w:t>
      </w:r>
      <w:r w:rsidR="00D64DFD">
        <w:rPr>
          <w:rFonts w:cs="Times New Roman"/>
          <w:color w:val="0D0D0D" w:themeColor="text1" w:themeTint="F2"/>
          <w:szCs w:val="24"/>
        </w:rPr>
        <w:t xml:space="preserve">local business participation at certain </w:t>
      </w:r>
      <w:r w:rsidR="00A107BC">
        <w:rPr>
          <w:rFonts w:cs="Times New Roman"/>
          <w:color w:val="0D0D0D" w:themeColor="text1" w:themeTint="F2"/>
          <w:szCs w:val="24"/>
        </w:rPr>
        <w:t>business events</w:t>
      </w:r>
      <w:r w:rsidR="00653D8F">
        <w:rPr>
          <w:rFonts w:cs="Times New Roman"/>
          <w:color w:val="0D0D0D" w:themeColor="text1" w:themeTint="F2"/>
          <w:szCs w:val="24"/>
        </w:rPr>
        <w:t xml:space="preserve">. </w:t>
      </w:r>
    </w:p>
    <w:p w14:paraId="259CC0FD" w14:textId="77777777" w:rsidR="0026682D" w:rsidRPr="00FF71A0" w:rsidRDefault="0026682D" w:rsidP="000D69D1">
      <w:bookmarkStart w:id="133" w:name="_Toc47101956"/>
      <w:bookmarkStart w:id="134" w:name="_Toc51270451"/>
      <w:bookmarkStart w:id="135" w:name="_Ref58358933"/>
      <w:bookmarkStart w:id="136" w:name="_Ref58877297"/>
    </w:p>
    <w:p w14:paraId="09A48267" w14:textId="60147406" w:rsidR="00FD7FCD" w:rsidRPr="003C0CD7" w:rsidRDefault="00FD7FCD" w:rsidP="007540C6">
      <w:pPr>
        <w:pStyle w:val="Heading1"/>
      </w:pPr>
      <w:bookmarkStart w:id="137" w:name="_Ref59012514"/>
      <w:bookmarkStart w:id="138" w:name="_Toc73090747"/>
      <w:r w:rsidRPr="003C0CD7">
        <w:t>DESCRIPTION OF THE ACTION</w:t>
      </w:r>
      <w:bookmarkEnd w:id="133"/>
      <w:bookmarkEnd w:id="134"/>
      <w:bookmarkEnd w:id="135"/>
      <w:bookmarkEnd w:id="136"/>
      <w:bookmarkEnd w:id="137"/>
      <w:bookmarkEnd w:id="138"/>
    </w:p>
    <w:p w14:paraId="133A6338" w14:textId="77777777" w:rsidR="00B26539" w:rsidRPr="003C0CD7" w:rsidRDefault="00B26539" w:rsidP="00B26539">
      <w:pPr>
        <w:pStyle w:val="Heading1"/>
        <w:numPr>
          <w:ilvl w:val="1"/>
          <w:numId w:val="1"/>
        </w:numPr>
      </w:pPr>
      <w:bookmarkStart w:id="139" w:name="_Toc58681338"/>
      <w:bookmarkStart w:id="140" w:name="_Toc58836468"/>
      <w:bookmarkStart w:id="141" w:name="_Toc58838086"/>
      <w:bookmarkStart w:id="142" w:name="_Toc58838141"/>
      <w:bookmarkStart w:id="143" w:name="_Toc58845983"/>
      <w:bookmarkStart w:id="144" w:name="_Toc58876993"/>
      <w:bookmarkStart w:id="145" w:name="_Toc58878028"/>
      <w:bookmarkStart w:id="146" w:name="_Toc59012341"/>
      <w:bookmarkStart w:id="147" w:name="_Toc59012917"/>
      <w:bookmarkStart w:id="148" w:name="_Toc59020765"/>
      <w:bookmarkStart w:id="149" w:name="_Toc59023365"/>
      <w:bookmarkStart w:id="150" w:name="_Toc59029534"/>
      <w:bookmarkStart w:id="151" w:name="_Toc59030350"/>
      <w:bookmarkStart w:id="152" w:name="_Toc59031667"/>
      <w:bookmarkStart w:id="153" w:name="_Toc62247166"/>
      <w:bookmarkStart w:id="154" w:name="_Toc62247223"/>
      <w:bookmarkStart w:id="155" w:name="_Toc62459265"/>
      <w:bookmarkStart w:id="156" w:name="_Toc62476929"/>
      <w:bookmarkStart w:id="157" w:name="_Toc63235837"/>
      <w:bookmarkStart w:id="158" w:name="_Toc63248943"/>
      <w:bookmarkStart w:id="159" w:name="_Toc63263272"/>
      <w:bookmarkStart w:id="160" w:name="_Toc64043049"/>
      <w:bookmarkStart w:id="161" w:name="_Toc65663761"/>
      <w:bookmarkStart w:id="162" w:name="_Toc65665576"/>
      <w:bookmarkStart w:id="163" w:name="_Toc65665938"/>
      <w:bookmarkStart w:id="164" w:name="_Toc65666117"/>
      <w:bookmarkStart w:id="165" w:name="_Toc65671194"/>
      <w:bookmarkStart w:id="166" w:name="_Toc65671253"/>
      <w:bookmarkStart w:id="167" w:name="_Toc65671909"/>
      <w:bookmarkStart w:id="168" w:name="_Toc65674765"/>
      <w:bookmarkStart w:id="169" w:name="_Toc65676415"/>
      <w:bookmarkStart w:id="170" w:name="_Toc65688252"/>
      <w:bookmarkStart w:id="171" w:name="_Toc66465141"/>
      <w:bookmarkStart w:id="172" w:name="_Toc66465594"/>
      <w:bookmarkStart w:id="173" w:name="_Toc66465653"/>
      <w:bookmarkStart w:id="174" w:name="_Toc66696379"/>
      <w:bookmarkStart w:id="175" w:name="_Toc67665928"/>
      <w:bookmarkStart w:id="176" w:name="_Toc69384712"/>
      <w:bookmarkStart w:id="177" w:name="_Toc69384843"/>
      <w:bookmarkStart w:id="178" w:name="_Toc69384971"/>
      <w:bookmarkStart w:id="179" w:name="_Toc69385099"/>
      <w:bookmarkStart w:id="180" w:name="_Toc69460848"/>
      <w:bookmarkStart w:id="181" w:name="_Toc69460975"/>
      <w:bookmarkStart w:id="182" w:name="_Toc69469911"/>
      <w:bookmarkStart w:id="183" w:name="_Toc69485774"/>
      <w:bookmarkStart w:id="184" w:name="_Toc69487649"/>
      <w:bookmarkStart w:id="185" w:name="_Toc72142239"/>
      <w:bookmarkStart w:id="186" w:name="_Toc72142325"/>
      <w:bookmarkStart w:id="187" w:name="_Toc73090665"/>
      <w:bookmarkStart w:id="188" w:name="_Toc73090748"/>
      <w:bookmarkStart w:id="189" w:name="_Toc73090749"/>
      <w:bookmarkStart w:id="190" w:name="_Ref58337114"/>
      <w:bookmarkStart w:id="191" w:name="_Ref58337116"/>
      <w:bookmarkStart w:id="192" w:name="_Ref58424170"/>
      <w:bookmarkStart w:id="193" w:name="_Ref58688188"/>
      <w:bookmarkStart w:id="194" w:name="_Ref58859220"/>
      <w:bookmarkStart w:id="195" w:name="_Ref58859419"/>
      <w:bookmarkStart w:id="196" w:name="_Ref60739130"/>
      <w:bookmarkStart w:id="197" w:name="_Ref6074284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3C0CD7">
        <w:t xml:space="preserve">Intervention Logic </w:t>
      </w:r>
    </w:p>
    <w:p w14:paraId="14A879E5" w14:textId="3970A8F1" w:rsidR="00AC5B2D" w:rsidRDefault="00AC5B2D" w:rsidP="00AC5B2D">
      <w:pPr>
        <w:rPr>
          <w:rFonts w:cs="Times New Roman"/>
          <w:color w:val="0D0D0D" w:themeColor="text1" w:themeTint="F2"/>
        </w:rPr>
      </w:pPr>
      <w:r w:rsidRPr="00445A78">
        <w:rPr>
          <w:rFonts w:cs="Times New Roman"/>
          <w:color w:val="0D0D0D" w:themeColor="text1" w:themeTint="F2"/>
        </w:rPr>
        <w:t>The Overall Objective</w:t>
      </w:r>
      <w:r w:rsidR="00FD4CDD" w:rsidRPr="00445A78">
        <w:rPr>
          <w:rFonts w:cs="Times New Roman"/>
          <w:color w:val="0D0D0D" w:themeColor="text1" w:themeTint="F2"/>
        </w:rPr>
        <w:t>/</w:t>
      </w:r>
      <w:r w:rsidRPr="00445A78">
        <w:rPr>
          <w:rFonts w:cs="Times New Roman"/>
          <w:color w:val="0D0D0D" w:themeColor="text1" w:themeTint="F2"/>
        </w:rPr>
        <w:t xml:space="preserve">(Impact) of this action </w:t>
      </w:r>
      <w:r w:rsidRPr="004A4C6A">
        <w:rPr>
          <w:rFonts w:cs="Times New Roman"/>
          <w:color w:val="0D0D0D" w:themeColor="text1" w:themeTint="F2"/>
        </w:rPr>
        <w:t>is</w:t>
      </w:r>
      <w:r w:rsidR="008D31BE" w:rsidRPr="00445A78">
        <w:rPr>
          <w:rFonts w:cs="Times New Roman"/>
          <w:color w:val="0D0D0D" w:themeColor="text1" w:themeTint="F2"/>
        </w:rPr>
        <w:t xml:space="preserve"> </w:t>
      </w:r>
      <w:r w:rsidRPr="00445A78">
        <w:rPr>
          <w:rFonts w:cs="Times New Roman"/>
          <w:color w:val="0D0D0D" w:themeColor="text1" w:themeTint="F2"/>
        </w:rPr>
        <w:t>to</w:t>
      </w:r>
      <w:r w:rsidRPr="003C0CD7">
        <w:rPr>
          <w:rFonts w:cs="Times New Roman"/>
          <w:color w:val="0D0D0D" w:themeColor="text1" w:themeTint="F2"/>
        </w:rPr>
        <w:t xml:space="preserve"> </w:t>
      </w:r>
      <w:r w:rsidR="00E41F0B">
        <w:rPr>
          <w:rFonts w:cs="Times New Roman"/>
          <w:color w:val="0D0D0D" w:themeColor="text1" w:themeTint="F2"/>
        </w:rPr>
        <w:t>prepare Western Balkans region for EU accession in relation to economics and trade matters</w:t>
      </w:r>
      <w:r w:rsidR="00B23AB9">
        <w:rPr>
          <w:rFonts w:cs="Times New Roman"/>
          <w:color w:val="0D0D0D" w:themeColor="text1" w:themeTint="F2"/>
        </w:rPr>
        <w:t>, through the creation of a Common Regional Market.</w:t>
      </w:r>
      <w:r w:rsidR="00E41F0B">
        <w:rPr>
          <w:rFonts w:cs="Times New Roman"/>
          <w:color w:val="0D0D0D" w:themeColor="text1" w:themeTint="F2"/>
        </w:rPr>
        <w:t xml:space="preserve"> </w:t>
      </w:r>
    </w:p>
    <w:p w14:paraId="693090B9" w14:textId="77777777" w:rsidR="00AC5B2D" w:rsidRPr="00445A78" w:rsidRDefault="00AC5B2D" w:rsidP="00AC5B2D">
      <w:pPr>
        <w:rPr>
          <w:rFonts w:cs="Times New Roman"/>
          <w:color w:val="0D0D0D" w:themeColor="text1" w:themeTint="F2"/>
        </w:rPr>
      </w:pPr>
    </w:p>
    <w:p w14:paraId="072D0777" w14:textId="0CADAC06" w:rsidR="00AC5B2D" w:rsidRDefault="00AC5B2D" w:rsidP="00AC5B2D">
      <w:pPr>
        <w:rPr>
          <w:rFonts w:cs="Times New Roman"/>
          <w:color w:val="0D0D0D" w:themeColor="text1" w:themeTint="F2"/>
        </w:rPr>
      </w:pPr>
      <w:r w:rsidRPr="00445A78">
        <w:rPr>
          <w:rFonts w:cs="Times New Roman"/>
          <w:color w:val="0D0D0D" w:themeColor="text1" w:themeTint="F2"/>
        </w:rPr>
        <w:t xml:space="preserve">The Specific Objective(s) (Outcomes) of this action </w:t>
      </w:r>
      <w:r w:rsidRPr="004A4C6A">
        <w:rPr>
          <w:rFonts w:cs="Times New Roman"/>
          <w:color w:val="0D0D0D" w:themeColor="text1" w:themeTint="F2"/>
        </w:rPr>
        <w:t>are</w:t>
      </w:r>
      <w:r w:rsidRPr="00445A78">
        <w:rPr>
          <w:rFonts w:cs="Times New Roman"/>
          <w:color w:val="0D0D0D" w:themeColor="text1" w:themeTint="F2"/>
        </w:rPr>
        <w:t xml:space="preserve"> to</w:t>
      </w:r>
      <w:r w:rsidR="00445A78">
        <w:rPr>
          <w:rFonts w:cs="Times New Roman"/>
          <w:color w:val="0D0D0D" w:themeColor="text1" w:themeTint="F2"/>
        </w:rPr>
        <w:t>:</w:t>
      </w:r>
    </w:p>
    <w:p w14:paraId="5D874020" w14:textId="77777777" w:rsidR="00252DEC" w:rsidRPr="003C0CD7" w:rsidRDefault="00252DEC" w:rsidP="00AC5B2D">
      <w:pPr>
        <w:rPr>
          <w:rFonts w:cs="Times New Roman"/>
          <w:color w:val="0D0D0D" w:themeColor="text1" w:themeTint="F2"/>
        </w:rPr>
      </w:pPr>
    </w:p>
    <w:p w14:paraId="6584162D" w14:textId="27174197" w:rsidR="00AC5B2D" w:rsidRDefault="00005979" w:rsidP="00AC5B2D">
      <w:pPr>
        <w:pStyle w:val="ListParagraph"/>
        <w:numPr>
          <w:ilvl w:val="1"/>
          <w:numId w:val="10"/>
        </w:numPr>
        <w:ind w:left="851"/>
        <w:rPr>
          <w:rFonts w:cs="Times New Roman"/>
          <w:color w:val="0D0D0D" w:themeColor="text1" w:themeTint="F2"/>
        </w:rPr>
      </w:pPr>
      <w:r>
        <w:rPr>
          <w:rFonts w:cs="Times New Roman"/>
          <w:color w:val="0D0D0D" w:themeColor="text1" w:themeTint="F2"/>
        </w:rPr>
        <w:t>Promote</w:t>
      </w:r>
      <w:r w:rsidR="006557CC">
        <w:rPr>
          <w:rFonts w:cs="Times New Roman"/>
          <w:color w:val="0D0D0D" w:themeColor="text1" w:themeTint="F2"/>
        </w:rPr>
        <w:t xml:space="preserve"> the free movement of </w:t>
      </w:r>
      <w:proofErr w:type="gramStart"/>
      <w:r w:rsidR="006557CC">
        <w:rPr>
          <w:rFonts w:cs="Times New Roman"/>
          <w:color w:val="0D0D0D" w:themeColor="text1" w:themeTint="F2"/>
        </w:rPr>
        <w:t>goods</w:t>
      </w:r>
      <w:r w:rsidR="006C3031">
        <w:rPr>
          <w:rFonts w:cs="Times New Roman"/>
          <w:color w:val="0D0D0D" w:themeColor="text1" w:themeTint="F2"/>
        </w:rPr>
        <w:t>;</w:t>
      </w:r>
      <w:proofErr w:type="gramEnd"/>
    </w:p>
    <w:p w14:paraId="39941A29" w14:textId="27CDC1AF" w:rsidR="006557CC" w:rsidRDefault="00005979" w:rsidP="00AC5B2D">
      <w:pPr>
        <w:pStyle w:val="ListParagraph"/>
        <w:numPr>
          <w:ilvl w:val="1"/>
          <w:numId w:val="10"/>
        </w:numPr>
        <w:ind w:left="851"/>
        <w:rPr>
          <w:rFonts w:cs="Times New Roman"/>
          <w:color w:val="0D0D0D" w:themeColor="text1" w:themeTint="F2"/>
        </w:rPr>
      </w:pPr>
      <w:r>
        <w:rPr>
          <w:rFonts w:cs="Times New Roman"/>
          <w:color w:val="0D0D0D" w:themeColor="text1" w:themeTint="F2"/>
        </w:rPr>
        <w:t>Promote</w:t>
      </w:r>
      <w:r w:rsidR="00D71535">
        <w:rPr>
          <w:rFonts w:cs="Times New Roman"/>
          <w:color w:val="0D0D0D" w:themeColor="text1" w:themeTint="F2"/>
        </w:rPr>
        <w:t xml:space="preserve"> the free movement of </w:t>
      </w:r>
      <w:proofErr w:type="gramStart"/>
      <w:r w:rsidR="00D71535">
        <w:rPr>
          <w:rFonts w:cs="Times New Roman"/>
          <w:color w:val="0D0D0D" w:themeColor="text1" w:themeTint="F2"/>
        </w:rPr>
        <w:t>services</w:t>
      </w:r>
      <w:r w:rsidR="006C3031">
        <w:rPr>
          <w:rFonts w:cs="Times New Roman"/>
          <w:color w:val="0D0D0D" w:themeColor="text1" w:themeTint="F2"/>
        </w:rPr>
        <w:t>;</w:t>
      </w:r>
      <w:proofErr w:type="gramEnd"/>
    </w:p>
    <w:p w14:paraId="675D2D5C" w14:textId="67461D8E" w:rsidR="00D71535" w:rsidRDefault="008772F7" w:rsidP="00AC5B2D">
      <w:pPr>
        <w:pStyle w:val="ListParagraph"/>
        <w:numPr>
          <w:ilvl w:val="1"/>
          <w:numId w:val="10"/>
        </w:numPr>
        <w:ind w:left="851"/>
        <w:rPr>
          <w:rFonts w:cs="Times New Roman"/>
          <w:color w:val="0D0D0D" w:themeColor="text1" w:themeTint="F2"/>
        </w:rPr>
      </w:pPr>
      <w:r>
        <w:rPr>
          <w:rFonts w:cs="Times New Roman"/>
          <w:color w:val="0D0D0D" w:themeColor="text1" w:themeTint="F2"/>
        </w:rPr>
        <w:t xml:space="preserve">Strengthen </w:t>
      </w:r>
      <w:r w:rsidR="00FB6753">
        <w:rPr>
          <w:rFonts w:cs="Times New Roman"/>
          <w:color w:val="0D0D0D" w:themeColor="text1" w:themeTint="F2"/>
        </w:rPr>
        <w:t xml:space="preserve">horizontal trade </w:t>
      </w:r>
      <w:proofErr w:type="gramStart"/>
      <w:r w:rsidR="00FB6753">
        <w:rPr>
          <w:rFonts w:cs="Times New Roman"/>
          <w:color w:val="0D0D0D" w:themeColor="text1" w:themeTint="F2"/>
        </w:rPr>
        <w:t>measures</w:t>
      </w:r>
      <w:r w:rsidR="006C3031">
        <w:rPr>
          <w:rFonts w:cs="Times New Roman"/>
          <w:color w:val="0D0D0D" w:themeColor="text1" w:themeTint="F2"/>
        </w:rPr>
        <w:t>;</w:t>
      </w:r>
      <w:proofErr w:type="gramEnd"/>
    </w:p>
    <w:p w14:paraId="2BAD35CF" w14:textId="7AB18B4F" w:rsidR="00FB6753" w:rsidRDefault="006202B8" w:rsidP="00AC5B2D">
      <w:pPr>
        <w:pStyle w:val="ListParagraph"/>
        <w:numPr>
          <w:ilvl w:val="1"/>
          <w:numId w:val="10"/>
        </w:numPr>
        <w:ind w:left="851"/>
        <w:rPr>
          <w:rFonts w:cs="Times New Roman"/>
          <w:color w:val="0D0D0D" w:themeColor="text1" w:themeTint="F2"/>
        </w:rPr>
      </w:pPr>
      <w:r>
        <w:rPr>
          <w:rFonts w:cs="Times New Roman"/>
          <w:color w:val="0D0D0D" w:themeColor="text1" w:themeTint="F2"/>
        </w:rPr>
        <w:t xml:space="preserve">Enhance human capital </w:t>
      </w:r>
      <w:proofErr w:type="gramStart"/>
      <w:r>
        <w:rPr>
          <w:rFonts w:cs="Times New Roman"/>
          <w:color w:val="0D0D0D" w:themeColor="text1" w:themeTint="F2"/>
        </w:rPr>
        <w:t>development</w:t>
      </w:r>
      <w:r w:rsidR="006C3031">
        <w:rPr>
          <w:rFonts w:cs="Times New Roman"/>
          <w:color w:val="0D0D0D" w:themeColor="text1" w:themeTint="F2"/>
        </w:rPr>
        <w:t>;</w:t>
      </w:r>
      <w:proofErr w:type="gramEnd"/>
    </w:p>
    <w:p w14:paraId="17B069C5" w14:textId="4BD99021" w:rsidR="006202B8" w:rsidRDefault="009346F7" w:rsidP="00AC5B2D">
      <w:pPr>
        <w:pStyle w:val="ListParagraph"/>
        <w:numPr>
          <w:ilvl w:val="1"/>
          <w:numId w:val="10"/>
        </w:numPr>
        <w:ind w:left="851"/>
        <w:rPr>
          <w:rFonts w:cs="Times New Roman"/>
          <w:color w:val="0D0D0D" w:themeColor="text1" w:themeTint="F2"/>
        </w:rPr>
      </w:pPr>
      <w:r>
        <w:rPr>
          <w:rFonts w:cs="Times New Roman"/>
          <w:color w:val="0D0D0D" w:themeColor="text1" w:themeTint="F2"/>
        </w:rPr>
        <w:t>Strengthen</w:t>
      </w:r>
      <w:r w:rsidR="007F1DE0">
        <w:rPr>
          <w:rFonts w:cs="Times New Roman"/>
          <w:color w:val="0D0D0D" w:themeColor="text1" w:themeTint="F2"/>
        </w:rPr>
        <w:t xml:space="preserve"> the business </w:t>
      </w:r>
      <w:r w:rsidR="00D1229D">
        <w:rPr>
          <w:rFonts w:cs="Times New Roman"/>
          <w:color w:val="0D0D0D" w:themeColor="text1" w:themeTint="F2"/>
        </w:rPr>
        <w:t xml:space="preserve">enabling environment and </w:t>
      </w:r>
      <w:proofErr w:type="gramStart"/>
      <w:r w:rsidR="00D1229D">
        <w:rPr>
          <w:rFonts w:cs="Times New Roman"/>
          <w:color w:val="0D0D0D" w:themeColor="text1" w:themeTint="F2"/>
        </w:rPr>
        <w:t>competitiveness</w:t>
      </w:r>
      <w:r w:rsidR="006C3031">
        <w:rPr>
          <w:rFonts w:cs="Times New Roman"/>
          <w:color w:val="0D0D0D" w:themeColor="text1" w:themeTint="F2"/>
        </w:rPr>
        <w:t>;</w:t>
      </w:r>
      <w:proofErr w:type="gramEnd"/>
    </w:p>
    <w:p w14:paraId="5864D7B8" w14:textId="611E6694" w:rsidR="00D1229D" w:rsidRDefault="006C3031" w:rsidP="00AC5B2D">
      <w:pPr>
        <w:pStyle w:val="ListParagraph"/>
        <w:numPr>
          <w:ilvl w:val="1"/>
          <w:numId w:val="10"/>
        </w:numPr>
        <w:ind w:left="851"/>
        <w:rPr>
          <w:rFonts w:cs="Times New Roman"/>
          <w:color w:val="0D0D0D" w:themeColor="text1" w:themeTint="F2"/>
        </w:rPr>
      </w:pPr>
      <w:r>
        <w:rPr>
          <w:rFonts w:cs="Times New Roman"/>
          <w:color w:val="0D0D0D" w:themeColor="text1" w:themeTint="F2"/>
        </w:rPr>
        <w:t xml:space="preserve">Promote the digital </w:t>
      </w:r>
      <w:proofErr w:type="gramStart"/>
      <w:r>
        <w:rPr>
          <w:rFonts w:cs="Times New Roman"/>
          <w:color w:val="0D0D0D" w:themeColor="text1" w:themeTint="F2"/>
        </w:rPr>
        <w:t>transformation;</w:t>
      </w:r>
      <w:proofErr w:type="gramEnd"/>
    </w:p>
    <w:p w14:paraId="282C5CD4" w14:textId="77777777" w:rsidR="00AC5B2D" w:rsidRDefault="00AC5B2D" w:rsidP="00AC5B2D">
      <w:pPr>
        <w:rPr>
          <w:rFonts w:cs="Times New Roman"/>
          <w:color w:val="0D0D0D" w:themeColor="text1" w:themeTint="F2"/>
        </w:rPr>
      </w:pPr>
    </w:p>
    <w:p w14:paraId="7E48931E" w14:textId="4147BE22" w:rsidR="00AC5B2D" w:rsidRDefault="00AC5B2D" w:rsidP="00AC5B2D">
      <w:pPr>
        <w:rPr>
          <w:rFonts w:cs="Times New Roman"/>
          <w:color w:val="0D0D0D" w:themeColor="text1" w:themeTint="F2"/>
        </w:rPr>
      </w:pPr>
      <w:r w:rsidRPr="003C0CD7">
        <w:rPr>
          <w:rFonts w:cs="Times New Roman"/>
          <w:color w:val="0D0D0D" w:themeColor="text1" w:themeTint="F2"/>
        </w:rPr>
        <w:t>The Outputs to be delivered by this action contributing to the corresponding Specific Objectives (Outcomes) are</w:t>
      </w:r>
      <w:r w:rsidR="006F741A">
        <w:rPr>
          <w:rFonts w:cs="Times New Roman"/>
          <w:color w:val="0D0D0D" w:themeColor="text1" w:themeTint="F2"/>
        </w:rPr>
        <w:t>:</w:t>
      </w:r>
      <w:r w:rsidRPr="003C0CD7">
        <w:rPr>
          <w:rFonts w:cs="Times New Roman"/>
          <w:color w:val="0D0D0D" w:themeColor="text1" w:themeTint="F2"/>
        </w:rPr>
        <w:t xml:space="preserve"> </w:t>
      </w:r>
    </w:p>
    <w:p w14:paraId="58BB8552" w14:textId="77777777" w:rsidR="006F741A" w:rsidRDefault="006F741A" w:rsidP="00AC5B2D">
      <w:pPr>
        <w:rPr>
          <w:rFonts w:cs="Times New Roman"/>
          <w:color w:val="0D0D0D" w:themeColor="text1" w:themeTint="F2"/>
        </w:rPr>
      </w:pPr>
    </w:p>
    <w:p w14:paraId="5EF01948" w14:textId="63472A30" w:rsidR="006F741A" w:rsidRDefault="006F741A" w:rsidP="00AC5B2D">
      <w:pPr>
        <w:rPr>
          <w:rFonts w:cs="Times New Roman"/>
          <w:color w:val="0D0D0D" w:themeColor="text1" w:themeTint="F2"/>
        </w:rPr>
      </w:pPr>
      <w:r>
        <w:rPr>
          <w:rFonts w:cs="Times New Roman"/>
          <w:color w:val="0D0D0D" w:themeColor="text1" w:themeTint="F2"/>
        </w:rPr>
        <w:t>Contributing to Outcome 1 (or Specific Objective 1)</w:t>
      </w:r>
    </w:p>
    <w:p w14:paraId="147AF1FD" w14:textId="77777777" w:rsidR="00252DEC" w:rsidRPr="003C0CD7" w:rsidRDefault="00252DEC" w:rsidP="00AC5B2D">
      <w:pPr>
        <w:rPr>
          <w:rFonts w:cs="Times New Roman"/>
          <w:color w:val="0D0D0D" w:themeColor="text1" w:themeTint="F2"/>
        </w:rPr>
      </w:pPr>
    </w:p>
    <w:p w14:paraId="6456BA3E" w14:textId="52446216" w:rsidR="00E32B69" w:rsidRDefault="008C1EA6" w:rsidP="004A4C6A">
      <w:pPr>
        <w:pStyle w:val="ListParagraph"/>
        <w:numPr>
          <w:ilvl w:val="1"/>
          <w:numId w:val="116"/>
        </w:numPr>
        <w:rPr>
          <w:rFonts w:cs="Times New Roman"/>
          <w:color w:val="0D0D0D" w:themeColor="text1" w:themeTint="F2"/>
        </w:rPr>
      </w:pPr>
      <w:r>
        <w:rPr>
          <w:rFonts w:cs="Times New Roman"/>
          <w:color w:val="0D0D0D" w:themeColor="text1" w:themeTint="F2"/>
        </w:rPr>
        <w:t xml:space="preserve">Facilitate </w:t>
      </w:r>
      <w:r w:rsidR="005954C4">
        <w:rPr>
          <w:rFonts w:cs="Times New Roman"/>
          <w:color w:val="0D0D0D" w:themeColor="text1" w:themeTint="F2"/>
        </w:rPr>
        <w:t xml:space="preserve">trade </w:t>
      </w:r>
      <w:r w:rsidR="00A26A9C">
        <w:rPr>
          <w:rFonts w:cs="Times New Roman"/>
          <w:color w:val="0D0D0D" w:themeColor="text1" w:themeTint="F2"/>
        </w:rPr>
        <w:t>of</w:t>
      </w:r>
      <w:r w:rsidR="005954C4">
        <w:rPr>
          <w:rFonts w:cs="Times New Roman"/>
          <w:color w:val="0D0D0D" w:themeColor="text1" w:themeTint="F2"/>
        </w:rPr>
        <w:t xml:space="preserve"> agri-food </w:t>
      </w:r>
      <w:proofErr w:type="gramStart"/>
      <w:r w:rsidR="005954C4">
        <w:rPr>
          <w:rFonts w:cs="Times New Roman"/>
          <w:color w:val="0D0D0D" w:themeColor="text1" w:themeTint="F2"/>
        </w:rPr>
        <w:t>products;</w:t>
      </w:r>
      <w:proofErr w:type="gramEnd"/>
    </w:p>
    <w:p w14:paraId="26978CD1" w14:textId="60E27267" w:rsidR="005954C4" w:rsidRDefault="00281E52" w:rsidP="005954C4">
      <w:pPr>
        <w:pStyle w:val="ListParagraph"/>
        <w:numPr>
          <w:ilvl w:val="1"/>
          <w:numId w:val="116"/>
        </w:numPr>
        <w:rPr>
          <w:rFonts w:cs="Times New Roman"/>
          <w:color w:val="0D0D0D" w:themeColor="text1" w:themeTint="F2"/>
        </w:rPr>
      </w:pPr>
      <w:r>
        <w:rPr>
          <w:rFonts w:cs="Times New Roman"/>
          <w:color w:val="0D0D0D" w:themeColor="text1" w:themeTint="F2"/>
        </w:rPr>
        <w:t xml:space="preserve">Facilitate trade </w:t>
      </w:r>
      <w:r w:rsidR="008B4CF2">
        <w:rPr>
          <w:rFonts w:cs="Times New Roman"/>
          <w:color w:val="0D0D0D" w:themeColor="text1" w:themeTint="F2"/>
        </w:rPr>
        <w:t>of</w:t>
      </w:r>
      <w:r>
        <w:rPr>
          <w:rFonts w:cs="Times New Roman"/>
          <w:color w:val="0D0D0D" w:themeColor="text1" w:themeTint="F2"/>
        </w:rPr>
        <w:t xml:space="preserve"> industrial </w:t>
      </w:r>
      <w:proofErr w:type="gramStart"/>
      <w:r>
        <w:rPr>
          <w:rFonts w:cs="Times New Roman"/>
          <w:color w:val="0D0D0D" w:themeColor="text1" w:themeTint="F2"/>
        </w:rPr>
        <w:t>goods;</w:t>
      </w:r>
      <w:proofErr w:type="gramEnd"/>
    </w:p>
    <w:p w14:paraId="4E37D336" w14:textId="7F0AF0B7" w:rsidR="00281E52" w:rsidRDefault="00933F59" w:rsidP="005954C4">
      <w:pPr>
        <w:pStyle w:val="ListParagraph"/>
        <w:numPr>
          <w:ilvl w:val="1"/>
          <w:numId w:val="116"/>
        </w:numPr>
        <w:rPr>
          <w:rFonts w:cs="Times New Roman"/>
          <w:color w:val="0D0D0D" w:themeColor="text1" w:themeTint="F2"/>
        </w:rPr>
      </w:pPr>
      <w:r>
        <w:rPr>
          <w:rFonts w:cs="Times New Roman"/>
          <w:color w:val="0D0D0D" w:themeColor="text1" w:themeTint="F2"/>
        </w:rPr>
        <w:t>Strengthen</w:t>
      </w:r>
      <w:r w:rsidR="002E16F1">
        <w:rPr>
          <w:rFonts w:cs="Times New Roman"/>
          <w:color w:val="0D0D0D" w:themeColor="text1" w:themeTint="F2"/>
        </w:rPr>
        <w:t xml:space="preserve"> customs and tax </w:t>
      </w:r>
      <w:proofErr w:type="gramStart"/>
      <w:r w:rsidR="002E16F1">
        <w:rPr>
          <w:rFonts w:cs="Times New Roman"/>
          <w:color w:val="0D0D0D" w:themeColor="text1" w:themeTint="F2"/>
        </w:rPr>
        <w:t>cooperation;</w:t>
      </w:r>
      <w:proofErr w:type="gramEnd"/>
    </w:p>
    <w:p w14:paraId="69DB2E48" w14:textId="5FBFEF1B" w:rsidR="006F741A" w:rsidRPr="004A4C6A" w:rsidRDefault="00566E5E" w:rsidP="004A4C6A">
      <w:pPr>
        <w:pStyle w:val="ListParagraph"/>
        <w:numPr>
          <w:ilvl w:val="1"/>
          <w:numId w:val="116"/>
        </w:numPr>
        <w:rPr>
          <w:rFonts w:cs="Times New Roman"/>
          <w:color w:val="0D0D0D" w:themeColor="text1" w:themeTint="F2"/>
        </w:rPr>
      </w:pPr>
      <w:r>
        <w:rPr>
          <w:rFonts w:cs="Times New Roman"/>
          <w:color w:val="0D0D0D" w:themeColor="text1" w:themeTint="F2"/>
        </w:rPr>
        <w:t>Support</w:t>
      </w:r>
      <w:r w:rsidR="006C3911">
        <w:rPr>
          <w:rFonts w:cs="Times New Roman"/>
          <w:color w:val="0D0D0D" w:themeColor="text1" w:themeTint="F2"/>
        </w:rPr>
        <w:t xml:space="preserve"> trade facilitation </w:t>
      </w:r>
      <w:proofErr w:type="gramStart"/>
      <w:r w:rsidR="006C3911">
        <w:rPr>
          <w:rFonts w:cs="Times New Roman"/>
          <w:color w:val="0D0D0D" w:themeColor="text1" w:themeTint="F2"/>
        </w:rPr>
        <w:t>measures;</w:t>
      </w:r>
      <w:proofErr w:type="gramEnd"/>
    </w:p>
    <w:p w14:paraId="0A9C7EA1" w14:textId="77777777" w:rsidR="00E32B69" w:rsidRPr="003C0CD7" w:rsidRDefault="00E32B69" w:rsidP="00AC5B2D">
      <w:pPr>
        <w:pStyle w:val="ListParagraph"/>
        <w:ind w:left="567"/>
        <w:rPr>
          <w:rFonts w:cs="Times New Roman"/>
          <w:color w:val="0D0D0D" w:themeColor="text1" w:themeTint="F2"/>
        </w:rPr>
      </w:pPr>
    </w:p>
    <w:p w14:paraId="73A84FAB" w14:textId="063A2F93" w:rsidR="00AC5B2D" w:rsidRDefault="00E32B69">
      <w:pPr>
        <w:rPr>
          <w:rFonts w:cs="Times New Roman"/>
          <w:color w:val="0D0D0D" w:themeColor="text1" w:themeTint="F2"/>
        </w:rPr>
      </w:pPr>
      <w:r>
        <w:rPr>
          <w:rFonts w:cs="Times New Roman"/>
          <w:color w:val="0D0D0D" w:themeColor="text1" w:themeTint="F2"/>
        </w:rPr>
        <w:t>C</w:t>
      </w:r>
      <w:r w:rsidR="00AC5B2D" w:rsidRPr="004A4C6A">
        <w:rPr>
          <w:rFonts w:cs="Times New Roman"/>
          <w:color w:val="0D0D0D" w:themeColor="text1" w:themeTint="F2"/>
        </w:rPr>
        <w:t xml:space="preserve">ontributing to Outcome 2 (or Specific Objective 2) </w:t>
      </w:r>
    </w:p>
    <w:p w14:paraId="2917F327" w14:textId="77777777" w:rsidR="00252DEC" w:rsidRPr="003C0CD7" w:rsidRDefault="00252DEC" w:rsidP="004A4C6A"/>
    <w:p w14:paraId="5CBB8B19" w14:textId="013FC93D" w:rsidR="00770E26" w:rsidRDefault="00E32B69" w:rsidP="00874E7B">
      <w:pPr>
        <w:pStyle w:val="ListParagraph"/>
        <w:ind w:left="567"/>
        <w:rPr>
          <w:rFonts w:cs="Times New Roman"/>
          <w:color w:val="0D0D0D" w:themeColor="text1" w:themeTint="F2"/>
        </w:rPr>
      </w:pPr>
      <w:r>
        <w:rPr>
          <w:rFonts w:cs="Times New Roman"/>
          <w:color w:val="0D0D0D" w:themeColor="text1" w:themeTint="F2"/>
        </w:rPr>
        <w:t>2</w:t>
      </w:r>
      <w:r w:rsidR="00AC5B2D" w:rsidRPr="003C0CD7">
        <w:rPr>
          <w:rFonts w:cs="Times New Roman"/>
          <w:color w:val="0D0D0D" w:themeColor="text1" w:themeTint="F2"/>
        </w:rPr>
        <w:t xml:space="preserve">.1 </w:t>
      </w:r>
      <w:r w:rsidR="00770E26">
        <w:rPr>
          <w:rFonts w:cs="Times New Roman"/>
          <w:color w:val="0D0D0D" w:themeColor="text1" w:themeTint="F2"/>
        </w:rPr>
        <w:t xml:space="preserve">Increase market </w:t>
      </w:r>
      <w:r w:rsidR="00772D03">
        <w:rPr>
          <w:rFonts w:cs="Times New Roman"/>
          <w:color w:val="0D0D0D" w:themeColor="text1" w:themeTint="F2"/>
        </w:rPr>
        <w:t>openness</w:t>
      </w:r>
      <w:r w:rsidR="00770E26">
        <w:rPr>
          <w:rFonts w:cs="Times New Roman"/>
          <w:color w:val="0D0D0D" w:themeColor="text1" w:themeTint="F2"/>
        </w:rPr>
        <w:t xml:space="preserve"> trade in </w:t>
      </w:r>
      <w:proofErr w:type="gramStart"/>
      <w:r w:rsidR="00770E26">
        <w:rPr>
          <w:rFonts w:cs="Times New Roman"/>
          <w:color w:val="0D0D0D" w:themeColor="text1" w:themeTint="F2"/>
        </w:rPr>
        <w:t>services;</w:t>
      </w:r>
      <w:proofErr w:type="gramEnd"/>
    </w:p>
    <w:p w14:paraId="4F4D2D9F" w14:textId="7EB57491" w:rsidR="00772D03" w:rsidRDefault="00772D03" w:rsidP="00874E7B">
      <w:pPr>
        <w:pStyle w:val="ListParagraph"/>
        <w:ind w:left="567"/>
        <w:rPr>
          <w:rFonts w:cs="Times New Roman"/>
          <w:color w:val="0D0D0D" w:themeColor="text1" w:themeTint="F2"/>
        </w:rPr>
      </w:pPr>
      <w:r>
        <w:rPr>
          <w:rFonts w:cs="Times New Roman"/>
          <w:color w:val="0D0D0D" w:themeColor="text1" w:themeTint="F2"/>
        </w:rPr>
        <w:t xml:space="preserve">2.2 </w:t>
      </w:r>
      <w:r w:rsidR="00630910">
        <w:rPr>
          <w:rFonts w:cs="Times New Roman"/>
          <w:color w:val="0D0D0D" w:themeColor="text1" w:themeTint="F2"/>
        </w:rPr>
        <w:t xml:space="preserve">Recognition of professional </w:t>
      </w:r>
      <w:proofErr w:type="gramStart"/>
      <w:r w:rsidR="00630910">
        <w:rPr>
          <w:rFonts w:cs="Times New Roman"/>
          <w:color w:val="0D0D0D" w:themeColor="text1" w:themeTint="F2"/>
        </w:rPr>
        <w:t>qualifications;</w:t>
      </w:r>
      <w:proofErr w:type="gramEnd"/>
    </w:p>
    <w:p w14:paraId="32A98D15" w14:textId="5E0431AA" w:rsidR="00630910" w:rsidRDefault="00630910" w:rsidP="00874E7B">
      <w:pPr>
        <w:pStyle w:val="ListParagraph"/>
        <w:ind w:left="567"/>
        <w:rPr>
          <w:rFonts w:cs="Times New Roman"/>
          <w:color w:val="0D0D0D" w:themeColor="text1" w:themeTint="F2"/>
        </w:rPr>
      </w:pPr>
      <w:r>
        <w:rPr>
          <w:rFonts w:cs="Times New Roman"/>
          <w:color w:val="0D0D0D" w:themeColor="text1" w:themeTint="F2"/>
        </w:rPr>
        <w:t xml:space="preserve">2.3 </w:t>
      </w:r>
      <w:r w:rsidR="00FA7953">
        <w:rPr>
          <w:rFonts w:cs="Times New Roman"/>
          <w:color w:val="0D0D0D" w:themeColor="text1" w:themeTint="F2"/>
        </w:rPr>
        <w:t>Promote</w:t>
      </w:r>
      <w:r w:rsidR="00724B28">
        <w:rPr>
          <w:rFonts w:cs="Times New Roman"/>
          <w:color w:val="0D0D0D" w:themeColor="text1" w:themeTint="F2"/>
        </w:rPr>
        <w:t xml:space="preserve"> financial and</w:t>
      </w:r>
      <w:r w:rsidR="00FA7953">
        <w:rPr>
          <w:rFonts w:cs="Times New Roman"/>
          <w:color w:val="0D0D0D" w:themeColor="text1" w:themeTint="F2"/>
        </w:rPr>
        <w:t xml:space="preserve"> </w:t>
      </w:r>
      <w:r w:rsidR="00B44AD9">
        <w:rPr>
          <w:rFonts w:cs="Times New Roman"/>
          <w:color w:val="0D0D0D" w:themeColor="text1" w:themeTint="F2"/>
        </w:rPr>
        <w:t>payment</w:t>
      </w:r>
      <w:r w:rsidR="007919D0">
        <w:rPr>
          <w:rFonts w:cs="Times New Roman"/>
          <w:color w:val="0D0D0D" w:themeColor="text1" w:themeTint="F2"/>
        </w:rPr>
        <w:t xml:space="preserve"> </w:t>
      </w:r>
      <w:proofErr w:type="gramStart"/>
      <w:r w:rsidR="007919D0">
        <w:rPr>
          <w:rFonts w:cs="Times New Roman"/>
          <w:color w:val="0D0D0D" w:themeColor="text1" w:themeTint="F2"/>
        </w:rPr>
        <w:t>services</w:t>
      </w:r>
      <w:r w:rsidR="00724B28">
        <w:rPr>
          <w:rFonts w:cs="Times New Roman"/>
          <w:color w:val="0D0D0D" w:themeColor="text1" w:themeTint="F2"/>
        </w:rPr>
        <w:t>;</w:t>
      </w:r>
      <w:proofErr w:type="gramEnd"/>
    </w:p>
    <w:p w14:paraId="46180507" w14:textId="62316FC5" w:rsidR="00874E7B" w:rsidRPr="004A4C6A" w:rsidRDefault="00724B28" w:rsidP="00144C51">
      <w:pPr>
        <w:pStyle w:val="ListParagraph"/>
        <w:ind w:left="567"/>
        <w:rPr>
          <w:rFonts w:cs="Times New Roman"/>
          <w:color w:val="0D0D0D" w:themeColor="text1" w:themeTint="F2"/>
        </w:rPr>
      </w:pPr>
      <w:r>
        <w:rPr>
          <w:rFonts w:cs="Times New Roman"/>
          <w:color w:val="0D0D0D" w:themeColor="text1" w:themeTint="F2"/>
        </w:rPr>
        <w:t xml:space="preserve">2.4 </w:t>
      </w:r>
      <w:r w:rsidR="0025669A">
        <w:rPr>
          <w:rFonts w:cs="Times New Roman"/>
          <w:color w:val="0D0D0D" w:themeColor="text1" w:themeTint="F2"/>
        </w:rPr>
        <w:t xml:space="preserve">Improve e-commerce </w:t>
      </w:r>
      <w:r w:rsidR="00144C51">
        <w:rPr>
          <w:rFonts w:cs="Times New Roman"/>
          <w:color w:val="0D0D0D" w:themeColor="text1" w:themeTint="F2"/>
        </w:rPr>
        <w:t xml:space="preserve">in the </w:t>
      </w:r>
      <w:proofErr w:type="gramStart"/>
      <w:r w:rsidR="00144C51">
        <w:rPr>
          <w:rFonts w:cs="Times New Roman"/>
          <w:color w:val="0D0D0D" w:themeColor="text1" w:themeTint="F2"/>
        </w:rPr>
        <w:t>region;</w:t>
      </w:r>
      <w:proofErr w:type="gramEnd"/>
    </w:p>
    <w:p w14:paraId="776DAD1B" w14:textId="77777777" w:rsidR="00E32B69" w:rsidRDefault="00E32B69" w:rsidP="00E32B69">
      <w:pPr>
        <w:rPr>
          <w:rFonts w:cs="Times New Roman"/>
          <w:color w:val="0D0D0D" w:themeColor="text1" w:themeTint="F2"/>
        </w:rPr>
      </w:pPr>
    </w:p>
    <w:p w14:paraId="73058DFD" w14:textId="77777777" w:rsidR="00E32B69" w:rsidRDefault="00E32B69" w:rsidP="00E32B69">
      <w:pPr>
        <w:rPr>
          <w:rFonts w:cs="Times New Roman"/>
          <w:color w:val="0D0D0D" w:themeColor="text1" w:themeTint="F2"/>
        </w:rPr>
      </w:pPr>
      <w:r>
        <w:rPr>
          <w:rFonts w:cs="Times New Roman"/>
          <w:color w:val="0D0D0D" w:themeColor="text1" w:themeTint="F2"/>
        </w:rPr>
        <w:t>Contributing to Outcome 3 (or Specific Objective 3)</w:t>
      </w:r>
    </w:p>
    <w:p w14:paraId="4117C60B" w14:textId="77777777" w:rsidR="00252DEC" w:rsidRDefault="00252DEC" w:rsidP="00E32B69">
      <w:pPr>
        <w:rPr>
          <w:rFonts w:cs="Times New Roman"/>
          <w:color w:val="0D0D0D" w:themeColor="text1" w:themeTint="F2"/>
        </w:rPr>
      </w:pPr>
    </w:p>
    <w:p w14:paraId="5E5EDFA8" w14:textId="2F842A90" w:rsidR="00E32B69" w:rsidRDefault="00E32B69">
      <w:pPr>
        <w:pStyle w:val="ListParagraph"/>
        <w:ind w:left="567"/>
        <w:rPr>
          <w:rFonts w:cs="Times New Roman"/>
          <w:color w:val="0D0D0D" w:themeColor="text1" w:themeTint="F2"/>
        </w:rPr>
      </w:pPr>
      <w:r>
        <w:rPr>
          <w:rFonts w:cs="Times New Roman"/>
          <w:color w:val="0D0D0D" w:themeColor="text1" w:themeTint="F2"/>
        </w:rPr>
        <w:t xml:space="preserve">3.1 </w:t>
      </w:r>
      <w:r w:rsidR="00E25D7F">
        <w:rPr>
          <w:rFonts w:cs="Times New Roman"/>
          <w:color w:val="0D0D0D" w:themeColor="text1" w:themeTint="F2"/>
        </w:rPr>
        <w:t xml:space="preserve">Promote regional Green Lanes and their extension to neighbouring EU Member </w:t>
      </w:r>
      <w:proofErr w:type="gramStart"/>
      <w:r w:rsidR="00E25D7F">
        <w:rPr>
          <w:rFonts w:cs="Times New Roman"/>
          <w:color w:val="0D0D0D" w:themeColor="text1" w:themeTint="F2"/>
        </w:rPr>
        <w:t>States;</w:t>
      </w:r>
      <w:proofErr w:type="gramEnd"/>
    </w:p>
    <w:p w14:paraId="4EFDC2FE" w14:textId="666A005D" w:rsidR="002463F7" w:rsidRDefault="002463F7">
      <w:pPr>
        <w:pStyle w:val="ListParagraph"/>
        <w:ind w:left="567"/>
        <w:rPr>
          <w:rFonts w:cs="Times New Roman"/>
          <w:color w:val="0D0D0D" w:themeColor="text1" w:themeTint="F2"/>
        </w:rPr>
      </w:pPr>
      <w:r>
        <w:rPr>
          <w:rFonts w:cs="Times New Roman"/>
          <w:color w:val="0D0D0D" w:themeColor="text1" w:themeTint="F2"/>
        </w:rPr>
        <w:t xml:space="preserve">3.2 Support digitalisation and paperless </w:t>
      </w:r>
      <w:proofErr w:type="gramStart"/>
      <w:r>
        <w:rPr>
          <w:rFonts w:cs="Times New Roman"/>
          <w:color w:val="0D0D0D" w:themeColor="text1" w:themeTint="F2"/>
        </w:rPr>
        <w:t>trade;</w:t>
      </w:r>
      <w:proofErr w:type="gramEnd"/>
    </w:p>
    <w:p w14:paraId="32D6FC7E" w14:textId="158EF09D" w:rsidR="00625991" w:rsidRDefault="00625991">
      <w:pPr>
        <w:pStyle w:val="ListParagraph"/>
        <w:ind w:left="567"/>
        <w:rPr>
          <w:rFonts w:cs="Times New Roman"/>
          <w:color w:val="0D0D0D" w:themeColor="text1" w:themeTint="F2"/>
        </w:rPr>
      </w:pPr>
      <w:r>
        <w:rPr>
          <w:rFonts w:cs="Times New Roman"/>
          <w:color w:val="0D0D0D" w:themeColor="text1" w:themeTint="F2"/>
        </w:rPr>
        <w:t>3.3 Improve</w:t>
      </w:r>
      <w:r w:rsidR="00B2221B">
        <w:rPr>
          <w:rFonts w:cs="Times New Roman"/>
          <w:color w:val="0D0D0D" w:themeColor="text1" w:themeTint="F2"/>
        </w:rPr>
        <w:t xml:space="preserve"> </w:t>
      </w:r>
      <w:r>
        <w:rPr>
          <w:rFonts w:cs="Times New Roman"/>
          <w:color w:val="0D0D0D" w:themeColor="text1" w:themeTint="F2"/>
        </w:rPr>
        <w:t>intellectual property rights</w:t>
      </w:r>
      <w:r w:rsidR="00B2221B">
        <w:rPr>
          <w:rFonts w:cs="Times New Roman"/>
          <w:color w:val="0D0D0D" w:themeColor="text1" w:themeTint="F2"/>
        </w:rPr>
        <w:t xml:space="preserve"> in the </w:t>
      </w:r>
      <w:proofErr w:type="gramStart"/>
      <w:r w:rsidR="00B2221B">
        <w:rPr>
          <w:rFonts w:cs="Times New Roman"/>
          <w:color w:val="0D0D0D" w:themeColor="text1" w:themeTint="F2"/>
        </w:rPr>
        <w:t>region</w:t>
      </w:r>
      <w:r>
        <w:rPr>
          <w:rFonts w:cs="Times New Roman"/>
          <w:color w:val="0D0D0D" w:themeColor="text1" w:themeTint="F2"/>
        </w:rPr>
        <w:t>;</w:t>
      </w:r>
      <w:proofErr w:type="gramEnd"/>
    </w:p>
    <w:p w14:paraId="2856C9F8" w14:textId="16E1F2D7" w:rsidR="00B859D0" w:rsidRDefault="00B859D0">
      <w:pPr>
        <w:pStyle w:val="ListParagraph"/>
        <w:ind w:left="567"/>
        <w:rPr>
          <w:rFonts w:cs="Times New Roman"/>
          <w:color w:val="0D0D0D" w:themeColor="text1" w:themeTint="F2"/>
        </w:rPr>
      </w:pPr>
      <w:r>
        <w:rPr>
          <w:rFonts w:cs="Times New Roman"/>
          <w:color w:val="0D0D0D" w:themeColor="text1" w:themeTint="F2"/>
        </w:rPr>
        <w:t>3.</w:t>
      </w:r>
      <w:r w:rsidR="00F27B6B">
        <w:rPr>
          <w:rFonts w:cs="Times New Roman"/>
          <w:color w:val="0D0D0D" w:themeColor="text1" w:themeTint="F2"/>
        </w:rPr>
        <w:t>4</w:t>
      </w:r>
      <w:r>
        <w:rPr>
          <w:rFonts w:cs="Times New Roman"/>
          <w:color w:val="0D0D0D" w:themeColor="text1" w:themeTint="F2"/>
        </w:rPr>
        <w:t xml:space="preserve"> </w:t>
      </w:r>
      <w:r w:rsidR="008E09A4">
        <w:rPr>
          <w:rFonts w:cs="Times New Roman"/>
          <w:color w:val="0D0D0D" w:themeColor="text1" w:themeTint="F2"/>
        </w:rPr>
        <w:t xml:space="preserve">Improve customer protection in the </w:t>
      </w:r>
      <w:proofErr w:type="gramStart"/>
      <w:r w:rsidR="008E09A4">
        <w:rPr>
          <w:rFonts w:cs="Times New Roman"/>
          <w:color w:val="0D0D0D" w:themeColor="text1" w:themeTint="F2"/>
        </w:rPr>
        <w:t>region;</w:t>
      </w:r>
      <w:proofErr w:type="gramEnd"/>
    </w:p>
    <w:p w14:paraId="41E90321" w14:textId="6D812D47" w:rsidR="008E09A4" w:rsidRDefault="008E09A4">
      <w:pPr>
        <w:pStyle w:val="ListParagraph"/>
        <w:ind w:left="567"/>
        <w:rPr>
          <w:rFonts w:cs="Times New Roman"/>
          <w:color w:val="0D0D0D" w:themeColor="text1" w:themeTint="F2"/>
        </w:rPr>
      </w:pPr>
      <w:r>
        <w:rPr>
          <w:rFonts w:cs="Times New Roman"/>
          <w:color w:val="0D0D0D" w:themeColor="text1" w:themeTint="F2"/>
        </w:rPr>
        <w:t>3.</w:t>
      </w:r>
      <w:r w:rsidR="00F27B6B">
        <w:rPr>
          <w:rFonts w:cs="Times New Roman"/>
          <w:color w:val="0D0D0D" w:themeColor="text1" w:themeTint="F2"/>
        </w:rPr>
        <w:t>5</w:t>
      </w:r>
      <w:r>
        <w:rPr>
          <w:rFonts w:cs="Times New Roman"/>
          <w:color w:val="0D0D0D" w:themeColor="text1" w:themeTint="F2"/>
        </w:rPr>
        <w:t xml:space="preserve"> </w:t>
      </w:r>
      <w:r w:rsidR="00A80B85">
        <w:rPr>
          <w:rFonts w:cs="Times New Roman"/>
          <w:color w:val="0D0D0D" w:themeColor="text1" w:themeTint="F2"/>
        </w:rPr>
        <w:t>Strengthen</w:t>
      </w:r>
      <w:r>
        <w:rPr>
          <w:rFonts w:cs="Times New Roman"/>
          <w:color w:val="0D0D0D" w:themeColor="text1" w:themeTint="F2"/>
        </w:rPr>
        <w:t xml:space="preserve"> </w:t>
      </w:r>
      <w:r w:rsidR="00E479DB">
        <w:rPr>
          <w:rFonts w:cs="Times New Roman"/>
          <w:color w:val="0D0D0D" w:themeColor="text1" w:themeTint="F2"/>
        </w:rPr>
        <w:t xml:space="preserve">trade </w:t>
      </w:r>
      <w:proofErr w:type="gramStart"/>
      <w:r w:rsidR="00E479DB">
        <w:rPr>
          <w:rFonts w:cs="Times New Roman"/>
          <w:color w:val="0D0D0D" w:themeColor="text1" w:themeTint="F2"/>
        </w:rPr>
        <w:t>statistics;</w:t>
      </w:r>
      <w:proofErr w:type="gramEnd"/>
    </w:p>
    <w:p w14:paraId="7F888950" w14:textId="65010E8D" w:rsidR="00E479DB" w:rsidRDefault="00E479DB">
      <w:pPr>
        <w:pStyle w:val="ListParagraph"/>
        <w:ind w:left="567"/>
        <w:rPr>
          <w:rFonts w:cs="Times New Roman"/>
          <w:color w:val="0D0D0D" w:themeColor="text1" w:themeTint="F2"/>
        </w:rPr>
      </w:pPr>
      <w:r>
        <w:rPr>
          <w:rFonts w:cs="Times New Roman"/>
          <w:color w:val="0D0D0D" w:themeColor="text1" w:themeTint="F2"/>
        </w:rPr>
        <w:t>3.</w:t>
      </w:r>
      <w:r w:rsidR="00F27B6B">
        <w:rPr>
          <w:rFonts w:cs="Times New Roman"/>
          <w:color w:val="0D0D0D" w:themeColor="text1" w:themeTint="F2"/>
        </w:rPr>
        <w:t>6</w:t>
      </w:r>
      <w:r>
        <w:rPr>
          <w:rFonts w:cs="Times New Roman"/>
          <w:color w:val="0D0D0D" w:themeColor="text1" w:themeTint="F2"/>
        </w:rPr>
        <w:t xml:space="preserve"> </w:t>
      </w:r>
      <w:r w:rsidR="001D1700">
        <w:rPr>
          <w:rFonts w:cs="Times New Roman"/>
          <w:color w:val="0D0D0D" w:themeColor="text1" w:themeTint="F2"/>
        </w:rPr>
        <w:t xml:space="preserve">Support </w:t>
      </w:r>
      <w:r w:rsidR="00FA3630">
        <w:rPr>
          <w:rFonts w:cs="Times New Roman"/>
          <w:color w:val="0D0D0D" w:themeColor="text1" w:themeTint="F2"/>
        </w:rPr>
        <w:t xml:space="preserve">trade-related environment </w:t>
      </w:r>
      <w:proofErr w:type="gramStart"/>
      <w:r w:rsidR="00FA3630">
        <w:rPr>
          <w:rFonts w:cs="Times New Roman"/>
          <w:color w:val="0D0D0D" w:themeColor="text1" w:themeTint="F2"/>
        </w:rPr>
        <w:t>issues;</w:t>
      </w:r>
      <w:proofErr w:type="gramEnd"/>
    </w:p>
    <w:p w14:paraId="7FDCE262" w14:textId="7F98C372" w:rsidR="00FA3630" w:rsidRDefault="00222841">
      <w:pPr>
        <w:pStyle w:val="ListParagraph"/>
        <w:ind w:left="567"/>
        <w:rPr>
          <w:rFonts w:cs="Times New Roman"/>
          <w:color w:val="0D0D0D" w:themeColor="text1" w:themeTint="F2"/>
        </w:rPr>
      </w:pPr>
      <w:r>
        <w:rPr>
          <w:rFonts w:cs="Times New Roman"/>
          <w:color w:val="0D0D0D" w:themeColor="text1" w:themeTint="F2"/>
        </w:rPr>
        <w:t>3.</w:t>
      </w:r>
      <w:r w:rsidR="00F27B6B">
        <w:rPr>
          <w:rFonts w:cs="Times New Roman"/>
          <w:color w:val="0D0D0D" w:themeColor="text1" w:themeTint="F2"/>
        </w:rPr>
        <w:t>7</w:t>
      </w:r>
      <w:r>
        <w:rPr>
          <w:rFonts w:cs="Times New Roman"/>
          <w:color w:val="0D0D0D" w:themeColor="text1" w:themeTint="F2"/>
        </w:rPr>
        <w:t xml:space="preserve"> </w:t>
      </w:r>
      <w:r w:rsidR="004A2E98">
        <w:rPr>
          <w:rFonts w:cs="Times New Roman"/>
          <w:color w:val="0D0D0D" w:themeColor="text1" w:themeTint="F2"/>
        </w:rPr>
        <w:t xml:space="preserve">Improve trade dispute settlement in the </w:t>
      </w:r>
      <w:proofErr w:type="gramStart"/>
      <w:r w:rsidR="004A2E98">
        <w:rPr>
          <w:rFonts w:cs="Times New Roman"/>
          <w:color w:val="0D0D0D" w:themeColor="text1" w:themeTint="F2"/>
        </w:rPr>
        <w:t>region;</w:t>
      </w:r>
      <w:proofErr w:type="gramEnd"/>
    </w:p>
    <w:p w14:paraId="39E8D64B" w14:textId="3A261C8F" w:rsidR="002463F7" w:rsidRPr="004A4C6A" w:rsidRDefault="00846CF7" w:rsidP="00846CF7">
      <w:pPr>
        <w:pStyle w:val="ListParagraph"/>
        <w:ind w:left="567"/>
        <w:rPr>
          <w:rFonts w:cs="Times New Roman"/>
          <w:color w:val="0D0D0D" w:themeColor="text1" w:themeTint="F2"/>
        </w:rPr>
      </w:pPr>
      <w:r>
        <w:rPr>
          <w:rFonts w:cs="Times New Roman"/>
          <w:color w:val="0D0D0D" w:themeColor="text1" w:themeTint="F2"/>
        </w:rPr>
        <w:t>3.</w:t>
      </w:r>
      <w:r w:rsidR="00F27B6B">
        <w:rPr>
          <w:rFonts w:cs="Times New Roman"/>
          <w:color w:val="0D0D0D" w:themeColor="text1" w:themeTint="F2"/>
        </w:rPr>
        <w:t>8</w:t>
      </w:r>
      <w:r>
        <w:rPr>
          <w:rFonts w:cs="Times New Roman"/>
          <w:color w:val="0D0D0D" w:themeColor="text1" w:themeTint="F2"/>
        </w:rPr>
        <w:t xml:space="preserve"> Export promotion </w:t>
      </w:r>
      <w:proofErr w:type="gramStart"/>
      <w:r>
        <w:rPr>
          <w:rFonts w:cs="Times New Roman"/>
          <w:color w:val="0D0D0D" w:themeColor="text1" w:themeTint="F2"/>
        </w:rPr>
        <w:t>activities;</w:t>
      </w:r>
      <w:proofErr w:type="gramEnd"/>
    </w:p>
    <w:p w14:paraId="03FFEED3" w14:textId="77777777" w:rsidR="00E25D7F" w:rsidRDefault="00E25D7F" w:rsidP="004A4C6A">
      <w:pPr>
        <w:pStyle w:val="ListParagraph"/>
        <w:ind w:left="567"/>
        <w:rPr>
          <w:rFonts w:cs="Times New Roman"/>
          <w:color w:val="0D0D0D" w:themeColor="text1" w:themeTint="F2"/>
        </w:rPr>
      </w:pPr>
    </w:p>
    <w:p w14:paraId="5D23F0F9" w14:textId="0717CA6F" w:rsidR="00E32B69" w:rsidRDefault="00A817FA">
      <w:pPr>
        <w:rPr>
          <w:rFonts w:cs="Times New Roman"/>
          <w:color w:val="0D0D0D" w:themeColor="text1" w:themeTint="F2"/>
        </w:rPr>
      </w:pPr>
      <w:r>
        <w:rPr>
          <w:rFonts w:cs="Times New Roman"/>
          <w:color w:val="0D0D0D" w:themeColor="text1" w:themeTint="F2"/>
        </w:rPr>
        <w:t>Contributing to Outcome 4 (or Specific Objective 4)</w:t>
      </w:r>
    </w:p>
    <w:p w14:paraId="50974679" w14:textId="77777777" w:rsidR="00252DEC" w:rsidRDefault="00252DEC">
      <w:pPr>
        <w:rPr>
          <w:rFonts w:cs="Times New Roman"/>
          <w:color w:val="0D0D0D" w:themeColor="text1" w:themeTint="F2"/>
        </w:rPr>
      </w:pPr>
    </w:p>
    <w:p w14:paraId="6F6FD616" w14:textId="7CA5FD9E" w:rsidR="00226C17" w:rsidRPr="00AD45F9" w:rsidRDefault="008123ED" w:rsidP="008123ED">
      <w:pPr>
        <w:pStyle w:val="ListParagraph"/>
        <w:ind w:left="567"/>
        <w:rPr>
          <w:rFonts w:cs="Times New Roman"/>
          <w:color w:val="0D0D0D" w:themeColor="text1" w:themeTint="F2"/>
        </w:rPr>
      </w:pPr>
      <w:r w:rsidRPr="004A4C6A">
        <w:rPr>
          <w:rFonts w:cs="Times New Roman"/>
          <w:color w:val="0D0D0D" w:themeColor="text1" w:themeTint="F2"/>
        </w:rPr>
        <w:t xml:space="preserve">4.1 </w:t>
      </w:r>
      <w:r w:rsidR="00142574">
        <w:t>Develop s</w:t>
      </w:r>
      <w:r w:rsidR="00142574" w:rsidRPr="00142574">
        <w:rPr>
          <w:rFonts w:cs="Times New Roman"/>
          <w:color w:val="0D0D0D" w:themeColor="text1" w:themeTint="F2"/>
        </w:rPr>
        <w:t xml:space="preserve">tandards in education and quality </w:t>
      </w:r>
      <w:proofErr w:type="gramStart"/>
      <w:r w:rsidR="00142574" w:rsidRPr="00142574">
        <w:rPr>
          <w:rFonts w:cs="Times New Roman"/>
          <w:color w:val="0D0D0D" w:themeColor="text1" w:themeTint="F2"/>
        </w:rPr>
        <w:t>assurance</w:t>
      </w:r>
      <w:r w:rsidR="00BB38B0">
        <w:rPr>
          <w:rFonts w:cs="Times New Roman"/>
          <w:color w:val="0D0D0D" w:themeColor="text1" w:themeTint="F2"/>
        </w:rPr>
        <w:t>;</w:t>
      </w:r>
      <w:proofErr w:type="gramEnd"/>
    </w:p>
    <w:p w14:paraId="224D60F6" w14:textId="4739000B" w:rsidR="00142574" w:rsidRDefault="00142574" w:rsidP="008123ED">
      <w:pPr>
        <w:pStyle w:val="ListParagraph"/>
        <w:ind w:left="567"/>
        <w:rPr>
          <w:rFonts w:cs="Times New Roman"/>
          <w:color w:val="0D0D0D" w:themeColor="text1" w:themeTint="F2"/>
        </w:rPr>
      </w:pPr>
      <w:r>
        <w:rPr>
          <w:rFonts w:cs="Times New Roman"/>
          <w:color w:val="0D0D0D" w:themeColor="text1" w:themeTint="F2"/>
        </w:rPr>
        <w:t xml:space="preserve">4.2 </w:t>
      </w:r>
      <w:r w:rsidR="00A97537">
        <w:rPr>
          <w:rFonts w:cs="Times New Roman"/>
          <w:color w:val="0D0D0D" w:themeColor="text1" w:themeTint="F2"/>
        </w:rPr>
        <w:t xml:space="preserve">Support closing the skills </w:t>
      </w:r>
      <w:proofErr w:type="gramStart"/>
      <w:r w:rsidR="00A97537">
        <w:rPr>
          <w:rFonts w:cs="Times New Roman"/>
          <w:color w:val="0D0D0D" w:themeColor="text1" w:themeTint="F2"/>
        </w:rPr>
        <w:t>gap</w:t>
      </w:r>
      <w:r w:rsidR="00BB38B0">
        <w:rPr>
          <w:rFonts w:cs="Times New Roman"/>
          <w:color w:val="0D0D0D" w:themeColor="text1" w:themeTint="F2"/>
        </w:rPr>
        <w:t>;</w:t>
      </w:r>
      <w:proofErr w:type="gramEnd"/>
    </w:p>
    <w:p w14:paraId="06041675" w14:textId="608F5D03" w:rsidR="00A97537" w:rsidRDefault="00BB38B0" w:rsidP="008123ED">
      <w:pPr>
        <w:pStyle w:val="ListParagraph"/>
        <w:ind w:left="567"/>
        <w:rPr>
          <w:rFonts w:cs="Times New Roman"/>
          <w:color w:val="0D0D0D" w:themeColor="text1" w:themeTint="F2"/>
        </w:rPr>
      </w:pPr>
      <w:r>
        <w:rPr>
          <w:rFonts w:cs="Times New Roman"/>
          <w:color w:val="0D0D0D" w:themeColor="text1" w:themeTint="F2"/>
        </w:rPr>
        <w:t>4.3 Facilitate l</w:t>
      </w:r>
      <w:r w:rsidRPr="00BB38B0">
        <w:rPr>
          <w:rFonts w:cs="Times New Roman"/>
          <w:color w:val="0D0D0D" w:themeColor="text1" w:themeTint="F2"/>
        </w:rPr>
        <w:t>abour market reform</w:t>
      </w:r>
      <w:r>
        <w:rPr>
          <w:rFonts w:cs="Times New Roman"/>
          <w:color w:val="0D0D0D" w:themeColor="text1" w:themeTint="F2"/>
        </w:rPr>
        <w:t>s</w:t>
      </w:r>
      <w:r w:rsidRPr="00BB38B0">
        <w:rPr>
          <w:rFonts w:cs="Times New Roman"/>
          <w:color w:val="0D0D0D" w:themeColor="text1" w:themeTint="F2"/>
        </w:rPr>
        <w:t xml:space="preserve"> for economic </w:t>
      </w:r>
      <w:proofErr w:type="gramStart"/>
      <w:r w:rsidRPr="00BB38B0">
        <w:rPr>
          <w:rFonts w:cs="Times New Roman"/>
          <w:color w:val="0D0D0D" w:themeColor="text1" w:themeTint="F2"/>
        </w:rPr>
        <w:t>opportunities</w:t>
      </w:r>
      <w:r>
        <w:rPr>
          <w:rFonts w:cs="Times New Roman"/>
          <w:color w:val="0D0D0D" w:themeColor="text1" w:themeTint="F2"/>
        </w:rPr>
        <w:t>;</w:t>
      </w:r>
      <w:proofErr w:type="gramEnd"/>
    </w:p>
    <w:p w14:paraId="6C046CD3" w14:textId="179CF730" w:rsidR="00F75EA4" w:rsidRDefault="00F75EA4" w:rsidP="008123ED">
      <w:pPr>
        <w:pStyle w:val="ListParagraph"/>
        <w:ind w:left="567"/>
        <w:rPr>
          <w:rFonts w:cs="Times New Roman"/>
          <w:color w:val="0D0D0D" w:themeColor="text1" w:themeTint="F2"/>
        </w:rPr>
      </w:pPr>
      <w:r>
        <w:rPr>
          <w:rFonts w:cs="Times New Roman"/>
          <w:color w:val="0D0D0D" w:themeColor="text1" w:themeTint="F2"/>
        </w:rPr>
        <w:t xml:space="preserve">4.4 </w:t>
      </w:r>
      <w:r w:rsidRPr="00F75EA4">
        <w:rPr>
          <w:rFonts w:cs="Times New Roman"/>
          <w:color w:val="0D0D0D" w:themeColor="text1" w:themeTint="F2"/>
        </w:rPr>
        <w:t>Boost Regional Innovation</w:t>
      </w:r>
    </w:p>
    <w:p w14:paraId="3E915C86" w14:textId="06FFA464" w:rsidR="00A817FA" w:rsidRDefault="00A817FA">
      <w:pPr>
        <w:rPr>
          <w:rFonts w:cs="Times New Roman"/>
          <w:color w:val="0D0D0D" w:themeColor="text1" w:themeTint="F2"/>
        </w:rPr>
      </w:pPr>
    </w:p>
    <w:p w14:paraId="5055A123" w14:textId="2977D638" w:rsidR="00846CF7" w:rsidRDefault="00846CF7" w:rsidP="00846CF7">
      <w:pPr>
        <w:rPr>
          <w:rFonts w:cs="Times New Roman"/>
          <w:color w:val="0D0D0D" w:themeColor="text1" w:themeTint="F2"/>
        </w:rPr>
      </w:pPr>
      <w:r>
        <w:rPr>
          <w:rFonts w:cs="Times New Roman"/>
          <w:color w:val="0D0D0D" w:themeColor="text1" w:themeTint="F2"/>
        </w:rPr>
        <w:t>Contributing to Outcome 5 (or Specific Objective 5)</w:t>
      </w:r>
    </w:p>
    <w:p w14:paraId="55CAF738" w14:textId="77777777" w:rsidR="00252DEC" w:rsidRDefault="00252DEC" w:rsidP="00846CF7">
      <w:pPr>
        <w:rPr>
          <w:rFonts w:cs="Times New Roman"/>
          <w:color w:val="0D0D0D" w:themeColor="text1" w:themeTint="F2"/>
        </w:rPr>
      </w:pPr>
    </w:p>
    <w:p w14:paraId="0013ADE9" w14:textId="03BD5487" w:rsidR="00846CF7" w:rsidRDefault="007A60B2" w:rsidP="007A60B2">
      <w:pPr>
        <w:pStyle w:val="ListParagraph"/>
        <w:ind w:left="567"/>
        <w:rPr>
          <w:rFonts w:cs="Times New Roman"/>
          <w:color w:val="0D0D0D" w:themeColor="text1" w:themeTint="F2"/>
        </w:rPr>
      </w:pPr>
      <w:r w:rsidRPr="004A4C6A">
        <w:rPr>
          <w:rFonts w:cs="Times New Roman"/>
          <w:color w:val="0D0D0D" w:themeColor="text1" w:themeTint="F2"/>
        </w:rPr>
        <w:t xml:space="preserve">5.1 </w:t>
      </w:r>
      <w:r w:rsidR="00CF23CB">
        <w:rPr>
          <w:rFonts w:cs="Times New Roman"/>
          <w:color w:val="0D0D0D" w:themeColor="text1" w:themeTint="F2"/>
        </w:rPr>
        <w:t>Develop s</w:t>
      </w:r>
      <w:r w:rsidR="00CF23CB" w:rsidRPr="00CF23CB">
        <w:rPr>
          <w:rFonts w:cs="Times New Roman"/>
          <w:color w:val="0D0D0D" w:themeColor="text1" w:themeTint="F2"/>
        </w:rPr>
        <w:t xml:space="preserve">ustainable and </w:t>
      </w:r>
      <w:r w:rsidR="00567220">
        <w:rPr>
          <w:rFonts w:cs="Times New Roman"/>
          <w:color w:val="0D0D0D" w:themeColor="text1" w:themeTint="F2"/>
        </w:rPr>
        <w:t>d</w:t>
      </w:r>
      <w:r w:rsidR="00CF23CB" w:rsidRPr="00CF23CB">
        <w:rPr>
          <w:rFonts w:cs="Times New Roman"/>
          <w:color w:val="0D0D0D" w:themeColor="text1" w:themeTint="F2"/>
        </w:rPr>
        <w:t xml:space="preserve">igital </w:t>
      </w:r>
      <w:proofErr w:type="gramStart"/>
      <w:r w:rsidR="00567220">
        <w:rPr>
          <w:rFonts w:cs="Times New Roman"/>
          <w:color w:val="0D0D0D" w:themeColor="text1" w:themeTint="F2"/>
        </w:rPr>
        <w:t>f</w:t>
      </w:r>
      <w:r w:rsidR="00CF23CB" w:rsidRPr="00CF23CB">
        <w:rPr>
          <w:rFonts w:cs="Times New Roman"/>
          <w:color w:val="0D0D0D" w:themeColor="text1" w:themeTint="F2"/>
        </w:rPr>
        <w:t>inance</w:t>
      </w:r>
      <w:proofErr w:type="gramEnd"/>
      <w:r w:rsidR="00CF23CB" w:rsidRPr="00CF23CB">
        <w:rPr>
          <w:rFonts w:cs="Times New Roman"/>
          <w:color w:val="0D0D0D" w:themeColor="text1" w:themeTint="F2"/>
        </w:rPr>
        <w:t xml:space="preserve"> </w:t>
      </w:r>
    </w:p>
    <w:p w14:paraId="58A7416C" w14:textId="16736B9F" w:rsidR="009E7341" w:rsidRDefault="00CF23CB" w:rsidP="007A60B2">
      <w:pPr>
        <w:pStyle w:val="ListParagraph"/>
        <w:ind w:left="567"/>
        <w:rPr>
          <w:rFonts w:cs="Times New Roman"/>
          <w:color w:val="0D0D0D" w:themeColor="text1" w:themeTint="F2"/>
        </w:rPr>
      </w:pPr>
      <w:r>
        <w:rPr>
          <w:rFonts w:cs="Times New Roman"/>
          <w:color w:val="0D0D0D" w:themeColor="text1" w:themeTint="F2"/>
        </w:rPr>
        <w:t xml:space="preserve">5.2 </w:t>
      </w:r>
      <w:r w:rsidR="00566C20">
        <w:rPr>
          <w:rFonts w:cs="Times New Roman"/>
          <w:color w:val="0D0D0D" w:themeColor="text1" w:themeTint="F2"/>
        </w:rPr>
        <w:t xml:space="preserve">Develop consumer </w:t>
      </w:r>
      <w:proofErr w:type="gramStart"/>
      <w:r w:rsidR="00566C20">
        <w:rPr>
          <w:rFonts w:cs="Times New Roman"/>
          <w:color w:val="0D0D0D" w:themeColor="text1" w:themeTint="F2"/>
        </w:rPr>
        <w:t>finance</w:t>
      </w:r>
      <w:proofErr w:type="gramEnd"/>
    </w:p>
    <w:p w14:paraId="14C11B11" w14:textId="341835F1" w:rsidR="00CF23CB" w:rsidRDefault="004C5AEB" w:rsidP="007A60B2">
      <w:pPr>
        <w:pStyle w:val="ListParagraph"/>
        <w:ind w:left="567"/>
        <w:rPr>
          <w:rFonts w:cs="Times New Roman"/>
          <w:color w:val="0D0D0D" w:themeColor="text1" w:themeTint="F2"/>
        </w:rPr>
      </w:pPr>
      <w:r>
        <w:rPr>
          <w:rFonts w:cs="Times New Roman"/>
          <w:color w:val="0D0D0D" w:themeColor="text1" w:themeTint="F2"/>
        </w:rPr>
        <w:t xml:space="preserve">5.3 </w:t>
      </w:r>
      <w:r w:rsidR="009C311E">
        <w:rPr>
          <w:rFonts w:cs="Times New Roman"/>
          <w:color w:val="0D0D0D" w:themeColor="text1" w:themeTint="F2"/>
        </w:rPr>
        <w:t xml:space="preserve">Support </w:t>
      </w:r>
      <w:r w:rsidR="00D32C92">
        <w:rPr>
          <w:rFonts w:cs="Times New Roman"/>
          <w:color w:val="0D0D0D" w:themeColor="text1" w:themeTint="F2"/>
        </w:rPr>
        <w:t>investment</w:t>
      </w:r>
    </w:p>
    <w:p w14:paraId="4679246F" w14:textId="3A783C9D" w:rsidR="00243F33" w:rsidRDefault="00D32C92" w:rsidP="007A60B2">
      <w:pPr>
        <w:pStyle w:val="ListParagraph"/>
        <w:ind w:left="567"/>
        <w:rPr>
          <w:rFonts w:cs="Times New Roman"/>
          <w:color w:val="0D0D0D" w:themeColor="text1" w:themeTint="F2"/>
        </w:rPr>
      </w:pPr>
      <w:r>
        <w:rPr>
          <w:rFonts w:cs="Times New Roman"/>
          <w:color w:val="0D0D0D" w:themeColor="text1" w:themeTint="F2"/>
        </w:rPr>
        <w:t>5.</w:t>
      </w:r>
      <w:r w:rsidR="00273700">
        <w:rPr>
          <w:rFonts w:cs="Times New Roman"/>
          <w:color w:val="0D0D0D" w:themeColor="text1" w:themeTint="F2"/>
        </w:rPr>
        <w:t>4</w:t>
      </w:r>
      <w:r>
        <w:rPr>
          <w:rFonts w:cs="Times New Roman"/>
          <w:color w:val="0D0D0D" w:themeColor="text1" w:themeTint="F2"/>
        </w:rPr>
        <w:t xml:space="preserve"> </w:t>
      </w:r>
      <w:r w:rsidR="000E2B80">
        <w:rPr>
          <w:rFonts w:cs="Times New Roman"/>
          <w:color w:val="0D0D0D" w:themeColor="text1" w:themeTint="F2"/>
        </w:rPr>
        <w:t>Develop r</w:t>
      </w:r>
      <w:r w:rsidR="00AF44AF" w:rsidRPr="00AF44AF">
        <w:rPr>
          <w:rFonts w:cs="Times New Roman"/>
          <w:color w:val="0D0D0D" w:themeColor="text1" w:themeTint="F2"/>
        </w:rPr>
        <w:t xml:space="preserve">egional </w:t>
      </w:r>
      <w:r w:rsidR="00AE0B43">
        <w:rPr>
          <w:rFonts w:cs="Times New Roman"/>
          <w:color w:val="0D0D0D" w:themeColor="text1" w:themeTint="F2"/>
        </w:rPr>
        <w:t>i</w:t>
      </w:r>
      <w:r w:rsidR="00AF44AF" w:rsidRPr="00AF44AF">
        <w:rPr>
          <w:rFonts w:cs="Times New Roman"/>
          <w:color w:val="0D0D0D" w:themeColor="text1" w:themeTint="F2"/>
        </w:rPr>
        <w:t xml:space="preserve">ntelligence on industrial </w:t>
      </w:r>
      <w:proofErr w:type="gramStart"/>
      <w:r w:rsidR="00AF44AF" w:rsidRPr="00AF44AF">
        <w:rPr>
          <w:rFonts w:cs="Times New Roman"/>
          <w:color w:val="0D0D0D" w:themeColor="text1" w:themeTint="F2"/>
        </w:rPr>
        <w:t>cooperation</w:t>
      </w:r>
      <w:proofErr w:type="gramEnd"/>
      <w:r w:rsidR="00AF44AF" w:rsidRPr="00AF44AF">
        <w:rPr>
          <w:rFonts w:cs="Times New Roman"/>
          <w:color w:val="0D0D0D" w:themeColor="text1" w:themeTint="F2"/>
        </w:rPr>
        <w:t xml:space="preserve"> </w:t>
      </w:r>
    </w:p>
    <w:p w14:paraId="2D3069D9" w14:textId="29A0039C" w:rsidR="00D32C92" w:rsidRDefault="00243F33" w:rsidP="007A60B2">
      <w:pPr>
        <w:pStyle w:val="ListParagraph"/>
        <w:ind w:left="567"/>
        <w:rPr>
          <w:rFonts w:cs="Times New Roman"/>
          <w:color w:val="0D0D0D" w:themeColor="text1" w:themeTint="F2"/>
        </w:rPr>
      </w:pPr>
      <w:r>
        <w:rPr>
          <w:rFonts w:cs="Times New Roman"/>
          <w:color w:val="0D0D0D" w:themeColor="text1" w:themeTint="F2"/>
        </w:rPr>
        <w:t>5.</w:t>
      </w:r>
      <w:r w:rsidR="00273700">
        <w:rPr>
          <w:rFonts w:cs="Times New Roman"/>
          <w:color w:val="0D0D0D" w:themeColor="text1" w:themeTint="F2"/>
        </w:rPr>
        <w:t>5</w:t>
      </w:r>
      <w:r>
        <w:rPr>
          <w:rFonts w:cs="Times New Roman"/>
          <w:color w:val="0D0D0D" w:themeColor="text1" w:themeTint="F2"/>
        </w:rPr>
        <w:t xml:space="preserve"> Support g</w:t>
      </w:r>
      <w:r w:rsidR="00AF44AF" w:rsidRPr="00AF44AF">
        <w:rPr>
          <w:rFonts w:cs="Times New Roman"/>
          <w:color w:val="0D0D0D" w:themeColor="text1" w:themeTint="F2"/>
        </w:rPr>
        <w:t xml:space="preserve">reen </w:t>
      </w:r>
      <w:r w:rsidR="00AE0B43">
        <w:rPr>
          <w:rFonts w:cs="Times New Roman"/>
          <w:color w:val="0D0D0D" w:themeColor="text1" w:themeTint="F2"/>
        </w:rPr>
        <w:t>i</w:t>
      </w:r>
      <w:r w:rsidR="00AF44AF" w:rsidRPr="00AF44AF">
        <w:rPr>
          <w:rFonts w:cs="Times New Roman"/>
          <w:color w:val="0D0D0D" w:themeColor="text1" w:themeTint="F2"/>
        </w:rPr>
        <w:t>ndustry</w:t>
      </w:r>
    </w:p>
    <w:p w14:paraId="42CA15C6" w14:textId="7AB73123" w:rsidR="00273700" w:rsidRDefault="000E2B80" w:rsidP="007A60B2">
      <w:pPr>
        <w:pStyle w:val="ListParagraph"/>
        <w:ind w:left="567"/>
        <w:rPr>
          <w:rFonts w:cs="Times New Roman"/>
          <w:color w:val="0D0D0D" w:themeColor="text1" w:themeTint="F2"/>
        </w:rPr>
      </w:pPr>
      <w:r>
        <w:rPr>
          <w:rFonts w:cs="Times New Roman"/>
          <w:color w:val="0D0D0D" w:themeColor="text1" w:themeTint="F2"/>
        </w:rPr>
        <w:t>5.</w:t>
      </w:r>
      <w:r w:rsidR="00273700">
        <w:rPr>
          <w:rFonts w:cs="Times New Roman"/>
          <w:color w:val="0D0D0D" w:themeColor="text1" w:themeTint="F2"/>
        </w:rPr>
        <w:t>6</w:t>
      </w:r>
      <w:r>
        <w:rPr>
          <w:rFonts w:cs="Times New Roman"/>
          <w:color w:val="0D0D0D" w:themeColor="text1" w:themeTint="F2"/>
        </w:rPr>
        <w:t xml:space="preserve"> </w:t>
      </w:r>
      <w:r w:rsidR="0018645C">
        <w:rPr>
          <w:rFonts w:cs="Times New Roman"/>
          <w:color w:val="0D0D0D" w:themeColor="text1" w:themeTint="F2"/>
        </w:rPr>
        <w:t xml:space="preserve">Support </w:t>
      </w:r>
      <w:r w:rsidR="008A421A" w:rsidRPr="008A421A">
        <w:rPr>
          <w:rFonts w:cs="Times New Roman"/>
          <w:color w:val="0D0D0D" w:themeColor="text1" w:themeTint="F2"/>
        </w:rPr>
        <w:t xml:space="preserve">SME access to finance </w:t>
      </w:r>
    </w:p>
    <w:p w14:paraId="189A18A6" w14:textId="4FDB931D" w:rsidR="000E2B80" w:rsidRDefault="00273700" w:rsidP="007A60B2">
      <w:pPr>
        <w:pStyle w:val="ListParagraph"/>
        <w:ind w:left="567"/>
        <w:rPr>
          <w:rFonts w:cs="Times New Roman"/>
          <w:color w:val="0D0D0D" w:themeColor="text1" w:themeTint="F2"/>
        </w:rPr>
      </w:pPr>
      <w:r>
        <w:rPr>
          <w:rFonts w:cs="Times New Roman"/>
          <w:color w:val="0D0D0D" w:themeColor="text1" w:themeTint="F2"/>
        </w:rPr>
        <w:t>5.7 Support</w:t>
      </w:r>
      <w:r w:rsidR="008A421A" w:rsidRPr="008A421A">
        <w:rPr>
          <w:rFonts w:cs="Times New Roman"/>
          <w:color w:val="0D0D0D" w:themeColor="text1" w:themeTint="F2"/>
        </w:rPr>
        <w:t xml:space="preserve"> </w:t>
      </w:r>
      <w:r w:rsidR="00F30663">
        <w:rPr>
          <w:rFonts w:cs="Times New Roman"/>
          <w:color w:val="0D0D0D" w:themeColor="text1" w:themeTint="F2"/>
        </w:rPr>
        <w:t>b</w:t>
      </w:r>
      <w:r w:rsidR="008A421A" w:rsidRPr="008A421A">
        <w:rPr>
          <w:rFonts w:cs="Times New Roman"/>
          <w:color w:val="0D0D0D" w:themeColor="text1" w:themeTint="F2"/>
        </w:rPr>
        <w:t>usiness sector competitiveness</w:t>
      </w:r>
    </w:p>
    <w:p w14:paraId="75C779AA" w14:textId="550C4775" w:rsidR="008A421A" w:rsidRDefault="008A421A" w:rsidP="007A60B2">
      <w:pPr>
        <w:pStyle w:val="ListParagraph"/>
        <w:ind w:left="567"/>
        <w:rPr>
          <w:rFonts w:cs="Times New Roman"/>
          <w:color w:val="0D0D0D" w:themeColor="text1" w:themeTint="F2"/>
        </w:rPr>
      </w:pPr>
      <w:r>
        <w:rPr>
          <w:rFonts w:cs="Times New Roman"/>
          <w:color w:val="0D0D0D" w:themeColor="text1" w:themeTint="F2"/>
        </w:rPr>
        <w:t>5.</w:t>
      </w:r>
      <w:r w:rsidR="00273700">
        <w:rPr>
          <w:rFonts w:cs="Times New Roman"/>
          <w:color w:val="0D0D0D" w:themeColor="text1" w:themeTint="F2"/>
        </w:rPr>
        <w:t>8</w:t>
      </w:r>
      <w:r>
        <w:rPr>
          <w:rFonts w:cs="Times New Roman"/>
          <w:color w:val="0D0D0D" w:themeColor="text1" w:themeTint="F2"/>
        </w:rPr>
        <w:t xml:space="preserve"> </w:t>
      </w:r>
      <w:r w:rsidR="0018645C">
        <w:rPr>
          <w:rFonts w:cs="Times New Roman"/>
          <w:color w:val="0D0D0D" w:themeColor="text1" w:themeTint="F2"/>
        </w:rPr>
        <w:t xml:space="preserve">Support </w:t>
      </w:r>
      <w:r w:rsidR="00567220">
        <w:rPr>
          <w:rFonts w:cs="Times New Roman"/>
          <w:color w:val="0D0D0D" w:themeColor="text1" w:themeTint="F2"/>
        </w:rPr>
        <w:t>r</w:t>
      </w:r>
      <w:r w:rsidR="00847753" w:rsidRPr="00847753">
        <w:rPr>
          <w:rFonts w:cs="Times New Roman"/>
          <w:color w:val="0D0D0D" w:themeColor="text1" w:themeTint="F2"/>
        </w:rPr>
        <w:t xml:space="preserve">egional </w:t>
      </w:r>
      <w:r w:rsidR="00567220">
        <w:rPr>
          <w:rFonts w:cs="Times New Roman"/>
          <w:color w:val="0D0D0D" w:themeColor="text1" w:themeTint="F2"/>
        </w:rPr>
        <w:t>t</w:t>
      </w:r>
      <w:r w:rsidR="00847753" w:rsidRPr="00847753">
        <w:rPr>
          <w:rFonts w:cs="Times New Roman"/>
          <w:color w:val="0D0D0D" w:themeColor="text1" w:themeTint="F2"/>
        </w:rPr>
        <w:t xml:space="preserve">ourism </w:t>
      </w:r>
      <w:r w:rsidR="00567220">
        <w:rPr>
          <w:rFonts w:cs="Times New Roman"/>
          <w:color w:val="0D0D0D" w:themeColor="text1" w:themeTint="F2"/>
        </w:rPr>
        <w:t>p</w:t>
      </w:r>
      <w:r w:rsidR="00847753" w:rsidRPr="00847753">
        <w:rPr>
          <w:rFonts w:cs="Times New Roman"/>
          <w:color w:val="0D0D0D" w:themeColor="text1" w:themeTint="F2"/>
        </w:rPr>
        <w:t xml:space="preserve">olicies </w:t>
      </w:r>
      <w:r w:rsidR="00567220">
        <w:rPr>
          <w:rFonts w:cs="Times New Roman"/>
          <w:color w:val="0D0D0D" w:themeColor="text1" w:themeTint="F2"/>
        </w:rPr>
        <w:t>a</w:t>
      </w:r>
      <w:r w:rsidR="00847753" w:rsidRPr="00847753">
        <w:rPr>
          <w:rFonts w:cs="Times New Roman"/>
          <w:color w:val="0D0D0D" w:themeColor="text1" w:themeTint="F2"/>
        </w:rPr>
        <w:t xml:space="preserve">nd </w:t>
      </w:r>
      <w:r w:rsidR="00567220">
        <w:rPr>
          <w:rFonts w:cs="Times New Roman"/>
          <w:color w:val="0D0D0D" w:themeColor="text1" w:themeTint="F2"/>
        </w:rPr>
        <w:t>c</w:t>
      </w:r>
      <w:r w:rsidR="00847753" w:rsidRPr="00847753">
        <w:rPr>
          <w:rFonts w:cs="Times New Roman"/>
          <w:color w:val="0D0D0D" w:themeColor="text1" w:themeTint="F2"/>
        </w:rPr>
        <w:t>ompetitiveness</w:t>
      </w:r>
    </w:p>
    <w:p w14:paraId="6FF32602" w14:textId="0A99860C" w:rsidR="00847753" w:rsidRDefault="00847753" w:rsidP="007A60B2">
      <w:pPr>
        <w:pStyle w:val="ListParagraph"/>
        <w:ind w:left="567"/>
        <w:rPr>
          <w:rFonts w:cs="Times New Roman"/>
          <w:color w:val="0D0D0D" w:themeColor="text1" w:themeTint="F2"/>
        </w:rPr>
      </w:pPr>
      <w:r>
        <w:rPr>
          <w:rFonts w:cs="Times New Roman"/>
          <w:color w:val="0D0D0D" w:themeColor="text1" w:themeTint="F2"/>
        </w:rPr>
        <w:t>5.</w:t>
      </w:r>
      <w:r w:rsidR="00194B2C">
        <w:rPr>
          <w:rFonts w:cs="Times New Roman"/>
          <w:color w:val="0D0D0D" w:themeColor="text1" w:themeTint="F2"/>
        </w:rPr>
        <w:t>9</w:t>
      </w:r>
      <w:r>
        <w:rPr>
          <w:rFonts w:cs="Times New Roman"/>
          <w:color w:val="0D0D0D" w:themeColor="text1" w:themeTint="F2"/>
        </w:rPr>
        <w:t xml:space="preserve"> Support </w:t>
      </w:r>
      <w:r w:rsidR="00567220">
        <w:rPr>
          <w:rFonts w:cs="Times New Roman"/>
          <w:color w:val="0D0D0D" w:themeColor="text1" w:themeTint="F2"/>
        </w:rPr>
        <w:t>w</w:t>
      </w:r>
      <w:r>
        <w:rPr>
          <w:rFonts w:cs="Times New Roman"/>
          <w:color w:val="0D0D0D" w:themeColor="text1" w:themeTint="F2"/>
        </w:rPr>
        <w:t xml:space="preserve">omen </w:t>
      </w:r>
      <w:r w:rsidR="00567220">
        <w:rPr>
          <w:rFonts w:cs="Times New Roman"/>
          <w:color w:val="0D0D0D" w:themeColor="text1" w:themeTint="F2"/>
        </w:rPr>
        <w:t>e</w:t>
      </w:r>
      <w:r>
        <w:rPr>
          <w:rFonts w:cs="Times New Roman"/>
          <w:color w:val="0D0D0D" w:themeColor="text1" w:themeTint="F2"/>
        </w:rPr>
        <w:t xml:space="preserve">conomic </w:t>
      </w:r>
      <w:r w:rsidR="00567220">
        <w:rPr>
          <w:rFonts w:cs="Times New Roman"/>
          <w:color w:val="0D0D0D" w:themeColor="text1" w:themeTint="F2"/>
        </w:rPr>
        <w:t>e</w:t>
      </w:r>
      <w:r>
        <w:rPr>
          <w:rFonts w:cs="Times New Roman"/>
          <w:color w:val="0D0D0D" w:themeColor="text1" w:themeTint="F2"/>
        </w:rPr>
        <w:t xml:space="preserve">mpowerment </w:t>
      </w:r>
    </w:p>
    <w:p w14:paraId="673AE4CE" w14:textId="65D2D330" w:rsidR="00696FE0" w:rsidRDefault="00194B2C" w:rsidP="004A4C6A">
      <w:pPr>
        <w:rPr>
          <w:lang w:val="en-GB"/>
        </w:rPr>
      </w:pPr>
      <w:r>
        <w:rPr>
          <w:rFonts w:cs="Times New Roman"/>
          <w:color w:val="0D0D0D" w:themeColor="text1" w:themeTint="F2"/>
        </w:rPr>
        <w:t xml:space="preserve">         </w:t>
      </w:r>
      <w:r w:rsidRPr="004A4C6A">
        <w:rPr>
          <w:rFonts w:cs="Times New Roman"/>
          <w:color w:val="0D0D0D" w:themeColor="text1" w:themeTint="F2"/>
        </w:rPr>
        <w:t xml:space="preserve">5.10 </w:t>
      </w:r>
      <w:r w:rsidR="00A5523E">
        <w:rPr>
          <w:szCs w:val="24"/>
        </w:rPr>
        <w:t xml:space="preserve">Support the regional supplier development </w:t>
      </w:r>
      <w:proofErr w:type="gramStart"/>
      <w:r w:rsidR="00A5523E">
        <w:rPr>
          <w:szCs w:val="24"/>
        </w:rPr>
        <w:t>programme</w:t>
      </w:r>
      <w:proofErr w:type="gramEnd"/>
    </w:p>
    <w:p w14:paraId="63FAFF44" w14:textId="63FCC921" w:rsidR="00A25B87" w:rsidRDefault="00A25B87" w:rsidP="004A4C6A">
      <w:pPr>
        <w:autoSpaceDE w:val="0"/>
        <w:autoSpaceDN w:val="0"/>
        <w:adjustRightInd w:val="0"/>
        <w:ind w:firstLine="567"/>
        <w:jc w:val="left"/>
        <w:rPr>
          <w:color w:val="0D0D0D"/>
          <w:lang w:val="en-GB"/>
        </w:rPr>
      </w:pPr>
    </w:p>
    <w:p w14:paraId="577CEDCA" w14:textId="03C10466" w:rsidR="00846CF7" w:rsidRDefault="00846CF7" w:rsidP="00846CF7">
      <w:pPr>
        <w:rPr>
          <w:rFonts w:cs="Times New Roman"/>
          <w:color w:val="0D0D0D" w:themeColor="text1" w:themeTint="F2"/>
        </w:rPr>
      </w:pPr>
      <w:r>
        <w:rPr>
          <w:rFonts w:cs="Times New Roman"/>
          <w:color w:val="0D0D0D" w:themeColor="text1" w:themeTint="F2"/>
        </w:rPr>
        <w:t>Contributing to Outcome 6 (or Specific Objective 6)</w:t>
      </w:r>
    </w:p>
    <w:p w14:paraId="059A203E" w14:textId="77777777" w:rsidR="00252DEC" w:rsidRDefault="00252DEC" w:rsidP="00846CF7">
      <w:pPr>
        <w:rPr>
          <w:rFonts w:cs="Times New Roman"/>
          <w:color w:val="0D0D0D" w:themeColor="text1" w:themeTint="F2"/>
        </w:rPr>
      </w:pPr>
    </w:p>
    <w:p w14:paraId="1C73600B" w14:textId="4AA72ED2" w:rsidR="007218C0" w:rsidRPr="004A4C6A" w:rsidRDefault="007218C0" w:rsidP="004A4C6A">
      <w:pPr>
        <w:pStyle w:val="ListParagraph"/>
        <w:ind w:left="567"/>
        <w:rPr>
          <w:rFonts w:cs="Times New Roman"/>
          <w:color w:val="0D0D0D" w:themeColor="text1" w:themeTint="F2"/>
        </w:rPr>
      </w:pPr>
      <w:r w:rsidRPr="004A4C6A">
        <w:rPr>
          <w:rFonts w:cs="Times New Roman"/>
          <w:color w:val="0D0D0D" w:themeColor="text1" w:themeTint="F2"/>
        </w:rPr>
        <w:t>6.1</w:t>
      </w:r>
      <w:r w:rsidR="0004717C">
        <w:rPr>
          <w:rFonts w:cs="Times New Roman"/>
          <w:color w:val="0D0D0D" w:themeColor="text1" w:themeTint="F2"/>
        </w:rPr>
        <w:t xml:space="preserve"> </w:t>
      </w:r>
      <w:r w:rsidR="002D39D9">
        <w:rPr>
          <w:rFonts w:cs="Times New Roman"/>
          <w:color w:val="0D0D0D" w:themeColor="text1" w:themeTint="F2"/>
        </w:rPr>
        <w:t>Support c</w:t>
      </w:r>
      <w:r w:rsidR="0004717C">
        <w:rPr>
          <w:rFonts w:cs="Times New Roman"/>
          <w:color w:val="0D0D0D" w:themeColor="text1" w:themeTint="F2"/>
        </w:rPr>
        <w:t xml:space="preserve">onnectivity </w:t>
      </w:r>
    </w:p>
    <w:p w14:paraId="6F5B557C" w14:textId="1EF3B68B" w:rsidR="007218C0" w:rsidRPr="004A4C6A" w:rsidRDefault="007218C0" w:rsidP="004A4C6A">
      <w:pPr>
        <w:pStyle w:val="ListParagraph"/>
        <w:ind w:left="567"/>
        <w:rPr>
          <w:rFonts w:cs="Times New Roman"/>
          <w:color w:val="0D0D0D" w:themeColor="text1" w:themeTint="F2"/>
        </w:rPr>
      </w:pPr>
      <w:r w:rsidRPr="004A4C6A">
        <w:rPr>
          <w:rFonts w:cs="Times New Roman"/>
          <w:color w:val="0D0D0D" w:themeColor="text1" w:themeTint="F2"/>
        </w:rPr>
        <w:t>6.2</w:t>
      </w:r>
      <w:r w:rsidR="003A1D9F">
        <w:rPr>
          <w:rFonts w:cs="Times New Roman"/>
          <w:color w:val="0D0D0D" w:themeColor="text1" w:themeTint="F2"/>
        </w:rPr>
        <w:t xml:space="preserve"> </w:t>
      </w:r>
      <w:r w:rsidR="00330D61">
        <w:rPr>
          <w:rFonts w:cs="Times New Roman"/>
          <w:color w:val="0D0D0D" w:themeColor="text1" w:themeTint="F2"/>
        </w:rPr>
        <w:t>Support the transition to a d</w:t>
      </w:r>
      <w:r w:rsidR="003A1D9F">
        <w:rPr>
          <w:rFonts w:cs="Times New Roman"/>
          <w:color w:val="0D0D0D" w:themeColor="text1" w:themeTint="F2"/>
        </w:rPr>
        <w:t xml:space="preserve">igital </w:t>
      </w:r>
      <w:proofErr w:type="gramStart"/>
      <w:r w:rsidR="2E75C66E" w:rsidRPr="4BEBC8CC">
        <w:rPr>
          <w:rFonts w:cs="Times New Roman"/>
          <w:color w:val="0D0D0D" w:themeColor="text1" w:themeTint="F2"/>
        </w:rPr>
        <w:t>e</w:t>
      </w:r>
      <w:r w:rsidR="003A1D9F" w:rsidRPr="4BEBC8CC">
        <w:rPr>
          <w:rFonts w:cs="Times New Roman"/>
          <w:color w:val="0D0D0D" w:themeColor="text1" w:themeTint="F2"/>
        </w:rPr>
        <w:t>conomy</w:t>
      </w:r>
      <w:proofErr w:type="gramEnd"/>
      <w:r w:rsidR="003A1D9F">
        <w:rPr>
          <w:rFonts w:cs="Times New Roman"/>
          <w:color w:val="0D0D0D" w:themeColor="text1" w:themeTint="F2"/>
        </w:rPr>
        <w:t xml:space="preserve"> </w:t>
      </w:r>
    </w:p>
    <w:p w14:paraId="6EBB4BEE" w14:textId="73BCD805" w:rsidR="00846CF7" w:rsidRPr="007218C0" w:rsidRDefault="007218C0" w:rsidP="004A4C6A">
      <w:pPr>
        <w:pStyle w:val="ListParagraph"/>
        <w:ind w:left="567"/>
        <w:rPr>
          <w:rFonts w:cs="Times New Roman"/>
          <w:color w:val="0D0D0D" w:themeColor="text1" w:themeTint="F2"/>
        </w:rPr>
      </w:pPr>
      <w:r w:rsidRPr="004A4C6A">
        <w:rPr>
          <w:rFonts w:cs="Times New Roman"/>
          <w:color w:val="0D0D0D" w:themeColor="text1" w:themeTint="F2"/>
        </w:rPr>
        <w:t>6.3</w:t>
      </w:r>
      <w:r w:rsidR="003A1D9F">
        <w:rPr>
          <w:rFonts w:cs="Times New Roman"/>
          <w:color w:val="0D0D0D" w:themeColor="text1" w:themeTint="F2"/>
        </w:rPr>
        <w:t xml:space="preserve"> </w:t>
      </w:r>
      <w:r w:rsidR="002D39D9">
        <w:rPr>
          <w:rFonts w:cs="Times New Roman"/>
          <w:color w:val="0D0D0D" w:themeColor="text1" w:themeTint="F2"/>
        </w:rPr>
        <w:t xml:space="preserve">Reinforce </w:t>
      </w:r>
      <w:proofErr w:type="gramStart"/>
      <w:r w:rsidR="002D39D9">
        <w:rPr>
          <w:rFonts w:cs="Times New Roman"/>
          <w:color w:val="0D0D0D" w:themeColor="text1" w:themeTint="F2"/>
        </w:rPr>
        <w:t>c</w:t>
      </w:r>
      <w:r w:rsidR="00E97E84">
        <w:rPr>
          <w:rFonts w:cs="Times New Roman"/>
          <w:color w:val="0D0D0D" w:themeColor="text1" w:themeTint="F2"/>
        </w:rPr>
        <w:t>ybersecurity</w:t>
      </w:r>
      <w:proofErr w:type="gramEnd"/>
      <w:r w:rsidR="00E97E84">
        <w:rPr>
          <w:rFonts w:cs="Times New Roman"/>
          <w:color w:val="0D0D0D" w:themeColor="text1" w:themeTint="F2"/>
        </w:rPr>
        <w:t xml:space="preserve"> </w:t>
      </w:r>
    </w:p>
    <w:p w14:paraId="32F92FE7" w14:textId="7743C435" w:rsidR="00AC5B2D" w:rsidRDefault="00AC5B2D" w:rsidP="00F54FD9">
      <w:pPr>
        <w:rPr>
          <w:rFonts w:cs="Times New Roman"/>
          <w:color w:val="0D0D0D" w:themeColor="text1" w:themeTint="F2"/>
        </w:rPr>
      </w:pPr>
    </w:p>
    <w:p w14:paraId="1CB939E8" w14:textId="25095248" w:rsidR="00215ACB" w:rsidRDefault="00FD44DF" w:rsidP="00FD44DF">
      <w:pPr>
        <w:rPr>
          <w:rFonts w:cs="Times New Roman"/>
          <w:color w:val="0D0D0D" w:themeColor="text1" w:themeTint="F2"/>
        </w:rPr>
      </w:pPr>
      <w:r w:rsidRPr="004A4C6A">
        <w:rPr>
          <w:rFonts w:cs="Times New Roman"/>
          <w:color w:val="0D0D0D" w:themeColor="text1" w:themeTint="F2"/>
        </w:rPr>
        <w:lastRenderedPageBreak/>
        <w:t xml:space="preserve">The underlying intervention logic for this action is </w:t>
      </w:r>
      <w:r w:rsidR="00357608">
        <w:rPr>
          <w:rFonts w:cs="Times New Roman"/>
          <w:color w:val="0D0D0D" w:themeColor="text1" w:themeTint="F2"/>
        </w:rPr>
        <w:t xml:space="preserve">to </w:t>
      </w:r>
      <w:r w:rsidR="0032160E">
        <w:rPr>
          <w:rFonts w:cs="Times New Roman"/>
          <w:color w:val="0D0D0D" w:themeColor="text1" w:themeTint="F2"/>
        </w:rPr>
        <w:t>promote</w:t>
      </w:r>
      <w:r w:rsidR="000301DC">
        <w:rPr>
          <w:rFonts w:cs="Times New Roman"/>
          <w:color w:val="0D0D0D" w:themeColor="text1" w:themeTint="F2"/>
        </w:rPr>
        <w:t xml:space="preserve"> a </w:t>
      </w:r>
      <w:r w:rsidR="00D93C1D">
        <w:rPr>
          <w:rFonts w:cs="Times New Roman"/>
          <w:color w:val="0D0D0D" w:themeColor="text1" w:themeTint="F2"/>
        </w:rPr>
        <w:t xml:space="preserve">suitable policy framework </w:t>
      </w:r>
      <w:r w:rsidR="00441FE7">
        <w:rPr>
          <w:rFonts w:cs="Times New Roman"/>
          <w:color w:val="0D0D0D" w:themeColor="text1" w:themeTint="F2"/>
        </w:rPr>
        <w:t xml:space="preserve">and to </w:t>
      </w:r>
      <w:r w:rsidR="00357608">
        <w:rPr>
          <w:rFonts w:cs="Times New Roman"/>
          <w:color w:val="0D0D0D" w:themeColor="text1" w:themeTint="F2"/>
        </w:rPr>
        <w:t xml:space="preserve">provide </w:t>
      </w:r>
      <w:r w:rsidR="002641CA">
        <w:rPr>
          <w:rFonts w:cs="Times New Roman"/>
          <w:color w:val="0D0D0D" w:themeColor="text1" w:themeTint="F2"/>
        </w:rPr>
        <w:t xml:space="preserve">technical assistance </w:t>
      </w:r>
      <w:r w:rsidR="00D93C1D">
        <w:rPr>
          <w:rFonts w:cs="Times New Roman"/>
          <w:color w:val="0D0D0D" w:themeColor="text1" w:themeTint="F2"/>
        </w:rPr>
        <w:t xml:space="preserve">to </w:t>
      </w:r>
      <w:r w:rsidR="002562EC">
        <w:rPr>
          <w:rFonts w:cs="Times New Roman"/>
          <w:color w:val="0D0D0D" w:themeColor="text1" w:themeTint="F2"/>
        </w:rPr>
        <w:t>operationalise</w:t>
      </w:r>
      <w:r>
        <w:rPr>
          <w:rFonts w:cs="Times New Roman"/>
          <w:color w:val="0D0D0D" w:themeColor="text1" w:themeTint="F2"/>
        </w:rPr>
        <w:t xml:space="preserve"> </w:t>
      </w:r>
      <w:r w:rsidRPr="004A4C6A">
        <w:rPr>
          <w:rFonts w:cs="Times New Roman"/>
          <w:color w:val="0D0D0D" w:themeColor="text1" w:themeTint="F2"/>
        </w:rPr>
        <w:t xml:space="preserve">a </w:t>
      </w:r>
      <w:r>
        <w:rPr>
          <w:rFonts w:cs="Times New Roman"/>
          <w:color w:val="0D0D0D" w:themeColor="text1" w:themeTint="F2"/>
        </w:rPr>
        <w:t xml:space="preserve">common regional </w:t>
      </w:r>
      <w:r w:rsidRPr="004A4C6A">
        <w:rPr>
          <w:rFonts w:cs="Times New Roman"/>
          <w:color w:val="0D0D0D" w:themeColor="text1" w:themeTint="F2"/>
        </w:rPr>
        <w:t>market</w:t>
      </w:r>
      <w:r w:rsidR="001F152D">
        <w:rPr>
          <w:rFonts w:cs="Times New Roman"/>
          <w:color w:val="0D0D0D" w:themeColor="text1" w:themeTint="F2"/>
        </w:rPr>
        <w:t xml:space="preserve"> </w:t>
      </w:r>
      <w:r w:rsidR="0005437F">
        <w:rPr>
          <w:rFonts w:cs="Times New Roman"/>
          <w:color w:val="0D0D0D" w:themeColor="text1" w:themeTint="F2"/>
        </w:rPr>
        <w:t>align</w:t>
      </w:r>
      <w:r w:rsidR="00873BA9">
        <w:rPr>
          <w:rFonts w:cs="Times New Roman"/>
          <w:color w:val="0D0D0D" w:themeColor="text1" w:themeTint="F2"/>
        </w:rPr>
        <w:t>ed</w:t>
      </w:r>
      <w:r w:rsidR="0005437F">
        <w:rPr>
          <w:rFonts w:cs="Times New Roman"/>
          <w:color w:val="0D0D0D" w:themeColor="text1" w:themeTint="F2"/>
        </w:rPr>
        <w:t xml:space="preserve"> with </w:t>
      </w:r>
      <w:r w:rsidR="00D802FD">
        <w:rPr>
          <w:rFonts w:cs="Times New Roman"/>
          <w:color w:val="0D0D0D" w:themeColor="text1" w:themeTint="F2"/>
        </w:rPr>
        <w:t xml:space="preserve">EU </w:t>
      </w:r>
      <w:r w:rsidR="0005437F">
        <w:rPr>
          <w:rFonts w:cs="Times New Roman"/>
          <w:color w:val="0D0D0D" w:themeColor="text1" w:themeTint="F2"/>
        </w:rPr>
        <w:t xml:space="preserve">policies, </w:t>
      </w:r>
      <w:proofErr w:type="gramStart"/>
      <w:r w:rsidR="0005437F">
        <w:rPr>
          <w:rFonts w:cs="Times New Roman"/>
          <w:color w:val="0D0D0D" w:themeColor="text1" w:themeTint="F2"/>
        </w:rPr>
        <w:t xml:space="preserve">in particular </w:t>
      </w:r>
      <w:r w:rsidR="00873BA9">
        <w:rPr>
          <w:rFonts w:cs="Times New Roman"/>
          <w:color w:val="0D0D0D" w:themeColor="text1" w:themeTint="F2"/>
        </w:rPr>
        <w:t>regarding</w:t>
      </w:r>
      <w:proofErr w:type="gramEnd"/>
      <w:r w:rsidR="00873BA9">
        <w:rPr>
          <w:rFonts w:cs="Times New Roman"/>
          <w:color w:val="0D0D0D" w:themeColor="text1" w:themeTint="F2"/>
        </w:rPr>
        <w:t xml:space="preserve"> the</w:t>
      </w:r>
      <w:r w:rsidR="0005437F">
        <w:rPr>
          <w:rFonts w:cs="Times New Roman"/>
          <w:color w:val="0D0D0D" w:themeColor="text1" w:themeTint="F2"/>
        </w:rPr>
        <w:t xml:space="preserve"> green and digital transition</w:t>
      </w:r>
      <w:r w:rsidRPr="004A4C6A">
        <w:rPr>
          <w:rFonts w:cs="Times New Roman"/>
          <w:color w:val="0D0D0D" w:themeColor="text1" w:themeTint="F2"/>
        </w:rPr>
        <w:t xml:space="preserve">. Not only </w:t>
      </w:r>
      <w:r w:rsidR="00DC1E0D">
        <w:rPr>
          <w:rFonts w:cs="Times New Roman"/>
          <w:color w:val="0D0D0D" w:themeColor="text1" w:themeTint="F2"/>
        </w:rPr>
        <w:t xml:space="preserve">will </w:t>
      </w:r>
      <w:r>
        <w:rPr>
          <w:rFonts w:cs="Times New Roman"/>
          <w:color w:val="0D0D0D" w:themeColor="text1" w:themeTint="F2"/>
        </w:rPr>
        <w:t>this</w:t>
      </w:r>
      <w:r w:rsidRPr="004A4C6A">
        <w:rPr>
          <w:rFonts w:cs="Times New Roman"/>
          <w:color w:val="0D0D0D" w:themeColor="text1" w:themeTint="F2"/>
        </w:rPr>
        <w:t xml:space="preserve"> offer a joint perspective to </w:t>
      </w:r>
      <w:r w:rsidR="00E1079D">
        <w:rPr>
          <w:rFonts w:cs="Times New Roman"/>
          <w:color w:val="0D0D0D" w:themeColor="text1" w:themeTint="F2"/>
        </w:rPr>
        <w:t>Western</w:t>
      </w:r>
      <w:r w:rsidR="00EF4FA7">
        <w:rPr>
          <w:rFonts w:cs="Times New Roman"/>
          <w:color w:val="0D0D0D" w:themeColor="text1" w:themeTint="F2"/>
        </w:rPr>
        <w:t xml:space="preserve"> Balkans</w:t>
      </w:r>
      <w:r w:rsidRPr="004A4C6A">
        <w:rPr>
          <w:rFonts w:cs="Times New Roman"/>
          <w:color w:val="0D0D0D" w:themeColor="text1" w:themeTint="F2"/>
        </w:rPr>
        <w:t xml:space="preserve"> in achieving synchronised trade and </w:t>
      </w:r>
      <w:r w:rsidR="00EF4FA7">
        <w:rPr>
          <w:rFonts w:cs="Times New Roman"/>
          <w:color w:val="0D0D0D" w:themeColor="text1" w:themeTint="F2"/>
        </w:rPr>
        <w:t>socio-</w:t>
      </w:r>
      <w:r w:rsidRPr="004A4C6A">
        <w:rPr>
          <w:rFonts w:cs="Times New Roman"/>
          <w:color w:val="0D0D0D" w:themeColor="text1" w:themeTint="F2"/>
        </w:rPr>
        <w:t xml:space="preserve">economic reforms </w:t>
      </w:r>
      <w:r w:rsidR="00C9301D">
        <w:rPr>
          <w:rFonts w:cs="Times New Roman"/>
          <w:color w:val="0D0D0D" w:themeColor="text1" w:themeTint="F2"/>
        </w:rPr>
        <w:t xml:space="preserve">- </w:t>
      </w:r>
      <w:r w:rsidRPr="004A4C6A">
        <w:rPr>
          <w:rFonts w:cs="Times New Roman"/>
          <w:color w:val="0D0D0D" w:themeColor="text1" w:themeTint="F2"/>
        </w:rPr>
        <w:t xml:space="preserve">that could otherwise generate divergence </w:t>
      </w:r>
      <w:proofErr w:type="gramStart"/>
      <w:r w:rsidRPr="004A4C6A">
        <w:rPr>
          <w:rFonts w:cs="Times New Roman"/>
          <w:color w:val="0D0D0D" w:themeColor="text1" w:themeTint="F2"/>
        </w:rPr>
        <w:t>as a result of</w:t>
      </w:r>
      <w:proofErr w:type="gramEnd"/>
      <w:r>
        <w:rPr>
          <w:rFonts w:cs="Times New Roman"/>
          <w:color w:val="0D0D0D" w:themeColor="text1" w:themeTint="F2"/>
        </w:rPr>
        <w:t xml:space="preserve"> </w:t>
      </w:r>
      <w:r w:rsidR="00C9301D">
        <w:rPr>
          <w:rFonts w:cs="Times New Roman"/>
          <w:color w:val="0D0D0D" w:themeColor="text1" w:themeTint="F2"/>
        </w:rPr>
        <w:t>bilateral engagement for</w:t>
      </w:r>
      <w:r w:rsidRPr="004A4C6A">
        <w:rPr>
          <w:rFonts w:cs="Times New Roman"/>
          <w:color w:val="0D0D0D" w:themeColor="text1" w:themeTint="F2"/>
        </w:rPr>
        <w:t xml:space="preserve"> EU accession </w:t>
      </w:r>
      <w:r w:rsidR="00C9301D">
        <w:rPr>
          <w:rFonts w:cs="Times New Roman"/>
          <w:color w:val="0D0D0D" w:themeColor="text1" w:themeTint="F2"/>
        </w:rPr>
        <w:t>negotiations -</w:t>
      </w:r>
      <w:r>
        <w:rPr>
          <w:rFonts w:cs="Times New Roman"/>
          <w:color w:val="0D0D0D" w:themeColor="text1" w:themeTint="F2"/>
        </w:rPr>
        <w:t xml:space="preserve"> </w:t>
      </w:r>
      <w:r w:rsidRPr="004A4C6A">
        <w:rPr>
          <w:rFonts w:cs="Times New Roman"/>
          <w:color w:val="0D0D0D" w:themeColor="text1" w:themeTint="F2"/>
        </w:rPr>
        <w:t>but it</w:t>
      </w:r>
      <w:r>
        <w:rPr>
          <w:rFonts w:cs="Times New Roman"/>
          <w:color w:val="0D0D0D" w:themeColor="text1" w:themeTint="F2"/>
        </w:rPr>
        <w:t xml:space="preserve"> </w:t>
      </w:r>
      <w:r w:rsidR="00F82929">
        <w:rPr>
          <w:rFonts w:cs="Times New Roman"/>
          <w:color w:val="0D0D0D" w:themeColor="text1" w:themeTint="F2"/>
        </w:rPr>
        <w:t>will</w:t>
      </w:r>
      <w:r w:rsidRPr="004A4C6A">
        <w:rPr>
          <w:rFonts w:cs="Times New Roman"/>
          <w:color w:val="0D0D0D" w:themeColor="text1" w:themeTint="F2"/>
        </w:rPr>
        <w:t xml:space="preserve"> also provide a platform for improving growth and investment in the region, a necessity to improve living standards and for generating socio-economic benefits for the population. </w:t>
      </w:r>
      <w:proofErr w:type="gramStart"/>
      <w:r w:rsidR="000A1DFC">
        <w:rPr>
          <w:rFonts w:cs="Times New Roman"/>
          <w:color w:val="0D0D0D" w:themeColor="text1" w:themeTint="F2"/>
        </w:rPr>
        <w:t>I</w:t>
      </w:r>
      <w:r w:rsidR="000A1DFC" w:rsidRPr="007C606F">
        <w:rPr>
          <w:rFonts w:cs="Times New Roman"/>
          <w:color w:val="0D0D0D" w:themeColor="text1" w:themeTint="F2"/>
        </w:rPr>
        <w:t>n order to</w:t>
      </w:r>
      <w:proofErr w:type="gramEnd"/>
      <w:r w:rsidR="000A1DFC" w:rsidRPr="007C606F">
        <w:rPr>
          <w:rFonts w:cs="Times New Roman"/>
          <w:color w:val="0D0D0D" w:themeColor="text1" w:themeTint="F2"/>
        </w:rPr>
        <w:t xml:space="preserve"> achieve this goal</w:t>
      </w:r>
      <w:r w:rsidR="000A1DFC">
        <w:rPr>
          <w:rFonts w:cs="Times New Roman"/>
          <w:color w:val="0D0D0D" w:themeColor="text1" w:themeTint="F2"/>
        </w:rPr>
        <w:t>, t</w:t>
      </w:r>
      <w:r w:rsidRPr="004A4C6A">
        <w:rPr>
          <w:rFonts w:cs="Times New Roman"/>
          <w:color w:val="0D0D0D" w:themeColor="text1" w:themeTint="F2"/>
        </w:rPr>
        <w:t>he adoption of legal reforms</w:t>
      </w:r>
      <w:r w:rsidR="00567220">
        <w:rPr>
          <w:rFonts w:cs="Times New Roman"/>
          <w:color w:val="0D0D0D" w:themeColor="text1" w:themeTint="F2"/>
        </w:rPr>
        <w:t xml:space="preserve"> -</w:t>
      </w:r>
      <w:r w:rsidR="00A618AA">
        <w:rPr>
          <w:rFonts w:cs="Times New Roman"/>
          <w:color w:val="0D0D0D" w:themeColor="text1" w:themeTint="F2"/>
        </w:rPr>
        <w:t xml:space="preserve"> in line with the </w:t>
      </w:r>
      <w:r w:rsidR="00A618AA" w:rsidRPr="00A618AA">
        <w:rPr>
          <w:rFonts w:cs="Times New Roman"/>
          <w:color w:val="0D0D0D" w:themeColor="text1" w:themeTint="F2"/>
        </w:rPr>
        <w:t>EU</w:t>
      </w:r>
      <w:r w:rsidR="00A618AA" w:rsidRPr="004A4C6A">
        <w:rPr>
          <w:rFonts w:cs="Times New Roman"/>
          <w:i/>
          <w:iCs/>
          <w:color w:val="0D0D0D" w:themeColor="text1" w:themeTint="F2"/>
        </w:rPr>
        <w:t xml:space="preserve"> acquis</w:t>
      </w:r>
      <w:r w:rsidR="00567220">
        <w:rPr>
          <w:rFonts w:cs="Times New Roman"/>
          <w:i/>
          <w:iCs/>
          <w:color w:val="0D0D0D" w:themeColor="text1" w:themeTint="F2"/>
        </w:rPr>
        <w:t xml:space="preserve"> -</w:t>
      </w:r>
      <w:r w:rsidRPr="004A4C6A">
        <w:rPr>
          <w:rFonts w:cs="Times New Roman"/>
          <w:color w:val="0D0D0D" w:themeColor="text1" w:themeTint="F2"/>
        </w:rPr>
        <w:t xml:space="preserve"> and their thorough implementation</w:t>
      </w:r>
      <w:r w:rsidR="00567220">
        <w:rPr>
          <w:rFonts w:cs="Times New Roman"/>
          <w:color w:val="0D0D0D" w:themeColor="text1" w:themeTint="F2"/>
        </w:rPr>
        <w:t>,</w:t>
      </w:r>
      <w:r w:rsidRPr="004A4C6A">
        <w:rPr>
          <w:rFonts w:cs="Times New Roman"/>
          <w:color w:val="0D0D0D" w:themeColor="text1" w:themeTint="F2"/>
        </w:rPr>
        <w:t xml:space="preserve"> should be </w:t>
      </w:r>
      <w:r w:rsidR="00567220">
        <w:rPr>
          <w:rFonts w:cs="Times New Roman"/>
          <w:color w:val="0D0D0D" w:themeColor="text1" w:themeTint="F2"/>
        </w:rPr>
        <w:t xml:space="preserve">strongly </w:t>
      </w:r>
      <w:r w:rsidRPr="004A4C6A">
        <w:rPr>
          <w:rFonts w:cs="Times New Roman"/>
          <w:color w:val="0D0D0D" w:themeColor="text1" w:themeTint="F2"/>
        </w:rPr>
        <w:t xml:space="preserve">supported </w:t>
      </w:r>
      <w:r w:rsidR="008C10C7">
        <w:rPr>
          <w:rFonts w:cs="Times New Roman"/>
          <w:color w:val="0D0D0D" w:themeColor="text1" w:themeTint="F2"/>
        </w:rPr>
        <w:t xml:space="preserve">by the </w:t>
      </w:r>
      <w:r w:rsidRPr="004A4C6A">
        <w:rPr>
          <w:rFonts w:cs="Times New Roman"/>
          <w:color w:val="0D0D0D" w:themeColor="text1" w:themeTint="F2"/>
        </w:rPr>
        <w:t>Western Balka</w:t>
      </w:r>
      <w:r w:rsidR="00CD464E" w:rsidRPr="004A4C6A" w:rsidDel="00CD464E">
        <w:rPr>
          <w:rFonts w:cs="Times New Roman"/>
          <w:color w:val="0D0D0D" w:themeColor="text1" w:themeTint="F2"/>
        </w:rPr>
        <w:t>n</w:t>
      </w:r>
      <w:r w:rsidR="00CD464E">
        <w:rPr>
          <w:rFonts w:cs="Times New Roman"/>
          <w:color w:val="0D0D0D" w:themeColor="text1" w:themeTint="F2"/>
        </w:rPr>
        <w:t>s</w:t>
      </w:r>
      <w:r w:rsidR="09C1F3BA" w:rsidRPr="7D6F3AA6">
        <w:rPr>
          <w:rFonts w:cs="Times New Roman"/>
          <w:color w:val="0D0D0D" w:themeColor="text1" w:themeTint="F2"/>
        </w:rPr>
        <w:t xml:space="preserve"> authorities.</w:t>
      </w:r>
      <w:r w:rsidRPr="004A4C6A">
        <w:rPr>
          <w:rFonts w:cs="Times New Roman"/>
          <w:color w:val="0D0D0D" w:themeColor="text1" w:themeTint="F2"/>
        </w:rPr>
        <w:t xml:space="preserve"> </w:t>
      </w:r>
    </w:p>
    <w:p w14:paraId="5F746805" w14:textId="2A4BB2F4" w:rsidR="00215ACB" w:rsidRDefault="00215ACB" w:rsidP="00FD44DF">
      <w:pPr>
        <w:rPr>
          <w:rFonts w:cs="Times New Roman"/>
          <w:color w:val="0D0D0D" w:themeColor="text1" w:themeTint="F2"/>
        </w:rPr>
      </w:pPr>
    </w:p>
    <w:p w14:paraId="6CEA10BE" w14:textId="36E702A9" w:rsidR="0028675E" w:rsidRDefault="00FD44DF" w:rsidP="00F54FD9">
      <w:pPr>
        <w:rPr>
          <w:rFonts w:cs="Times New Roman"/>
          <w:color w:val="0D0D0D" w:themeColor="text1" w:themeTint="F2"/>
        </w:rPr>
      </w:pPr>
      <w:r w:rsidRPr="004A4C6A">
        <w:rPr>
          <w:rFonts w:cs="Times New Roman"/>
          <w:color w:val="0D0D0D" w:themeColor="text1" w:themeTint="F2"/>
        </w:rPr>
        <w:t xml:space="preserve">The action therefore aims at supporting key stakeholders in the region </w:t>
      </w:r>
      <w:r w:rsidR="00374B38">
        <w:rPr>
          <w:rFonts w:cs="Times New Roman"/>
          <w:color w:val="0D0D0D" w:themeColor="text1" w:themeTint="F2"/>
        </w:rPr>
        <w:t>in</w:t>
      </w:r>
      <w:r w:rsidRPr="004A4C6A">
        <w:rPr>
          <w:rFonts w:cs="Times New Roman"/>
          <w:color w:val="0D0D0D" w:themeColor="text1" w:themeTint="F2"/>
        </w:rPr>
        <w:t xml:space="preserve"> various</w:t>
      </w:r>
      <w:r w:rsidR="00374B38">
        <w:rPr>
          <w:rFonts w:cs="Times New Roman"/>
          <w:color w:val="0D0D0D" w:themeColor="text1" w:themeTint="F2"/>
        </w:rPr>
        <w:t>,</w:t>
      </w:r>
      <w:r w:rsidRPr="004A4C6A">
        <w:rPr>
          <w:rFonts w:cs="Times New Roman"/>
          <w:color w:val="0D0D0D" w:themeColor="text1" w:themeTint="F2"/>
        </w:rPr>
        <w:t xml:space="preserve"> namely</w:t>
      </w:r>
      <w:r w:rsidR="00374B38">
        <w:rPr>
          <w:rFonts w:cs="Times New Roman"/>
          <w:color w:val="0D0D0D" w:themeColor="text1" w:themeTint="F2"/>
        </w:rPr>
        <w:t xml:space="preserve"> trade in goods and services, horizontal trade issues, </w:t>
      </w:r>
      <w:r w:rsidR="00665A46">
        <w:rPr>
          <w:rFonts w:cs="Times New Roman"/>
          <w:color w:val="0D0D0D" w:themeColor="text1" w:themeTint="F2"/>
        </w:rPr>
        <w:t xml:space="preserve">human capital development, business environment reforms and </w:t>
      </w:r>
      <w:r w:rsidR="00D13FAE">
        <w:rPr>
          <w:rFonts w:cs="Times New Roman"/>
          <w:color w:val="0D0D0D" w:themeColor="text1" w:themeTint="F2"/>
        </w:rPr>
        <w:t>digitalisation.</w:t>
      </w:r>
      <w:r w:rsidRPr="004A4C6A">
        <w:rPr>
          <w:rFonts w:cs="Times New Roman"/>
          <w:color w:val="0D0D0D" w:themeColor="text1" w:themeTint="F2"/>
        </w:rPr>
        <w:t xml:space="preserve"> A </w:t>
      </w:r>
      <w:r w:rsidR="00A922CD">
        <w:rPr>
          <w:rFonts w:cs="Times New Roman"/>
          <w:color w:val="0D0D0D" w:themeColor="text1" w:themeTint="F2"/>
        </w:rPr>
        <w:t>holistic</w:t>
      </w:r>
      <w:r w:rsidRPr="004A4C6A">
        <w:rPr>
          <w:rFonts w:cs="Times New Roman"/>
          <w:color w:val="0D0D0D" w:themeColor="text1" w:themeTint="F2"/>
        </w:rPr>
        <w:t xml:space="preserve"> approach targeting public and private structures is envisaged to create the right balance of incentives and to generate concrete results on the ground. </w:t>
      </w:r>
    </w:p>
    <w:p w14:paraId="6A9132BF" w14:textId="77777777" w:rsidR="00C60BF9" w:rsidRPr="003C0CD7" w:rsidRDefault="00C60BF9" w:rsidP="00C60BF9">
      <w:pPr>
        <w:pStyle w:val="Heading1"/>
        <w:numPr>
          <w:ilvl w:val="1"/>
          <w:numId w:val="1"/>
        </w:numPr>
      </w:pPr>
      <w:bookmarkStart w:id="198" w:name="_Ref58424572"/>
      <w:bookmarkStart w:id="199" w:name="_Toc73090752"/>
      <w:bookmarkEnd w:id="189"/>
      <w:r w:rsidRPr="003C0CD7">
        <w:t>Indicative Activities</w:t>
      </w:r>
      <w:bookmarkEnd w:id="198"/>
      <w:bookmarkEnd w:id="199"/>
    </w:p>
    <w:p w14:paraId="2E920353" w14:textId="175A1870" w:rsidR="00A06D91" w:rsidRDefault="00C60BF9" w:rsidP="00C60BF9">
      <w:r w:rsidRPr="003C0CD7">
        <w:t>Activities related to Output 1.1</w:t>
      </w:r>
    </w:p>
    <w:p w14:paraId="7F5D07AC" w14:textId="77777777" w:rsidR="00C94B59" w:rsidRDefault="00C94B59" w:rsidP="00C60BF9"/>
    <w:p w14:paraId="5CF7FDF8" w14:textId="1837658D" w:rsidR="00C94B59" w:rsidRPr="004A4C6A" w:rsidRDefault="0032757E" w:rsidP="008631B4">
      <w:pPr>
        <w:pStyle w:val="ListParagraph"/>
        <w:numPr>
          <w:ilvl w:val="0"/>
          <w:numId w:val="117"/>
        </w:numPr>
        <w:rPr>
          <w:rFonts w:cs="Times New Roman"/>
          <w:color w:val="0D0D0D" w:themeColor="text1" w:themeTint="F2"/>
        </w:rPr>
      </w:pPr>
      <w:r>
        <w:rPr>
          <w:rFonts w:cs="Times New Roman"/>
          <w:color w:val="0D0D0D" w:themeColor="text1" w:themeTint="F2"/>
        </w:rPr>
        <w:t xml:space="preserve">Technical assistance to </w:t>
      </w:r>
      <w:r w:rsidRPr="0032757E">
        <w:rPr>
          <w:rFonts w:cs="Times New Roman"/>
          <w:color w:val="0D0D0D" w:themeColor="text1" w:themeTint="F2"/>
          <w:lang w:val="en-GB"/>
        </w:rPr>
        <w:t xml:space="preserve">facilitate trade of </w:t>
      </w:r>
      <w:r w:rsidR="007A53F9">
        <w:rPr>
          <w:rFonts w:cs="Times New Roman"/>
          <w:color w:val="0D0D0D" w:themeColor="text1" w:themeTint="F2"/>
          <w:lang w:val="en-GB"/>
        </w:rPr>
        <w:t xml:space="preserve">plants and </w:t>
      </w:r>
      <w:r w:rsidRPr="0032757E">
        <w:rPr>
          <w:rFonts w:cs="Times New Roman"/>
          <w:color w:val="0D0D0D" w:themeColor="text1" w:themeTint="F2"/>
          <w:lang w:val="en-GB"/>
        </w:rPr>
        <w:t xml:space="preserve">animals through simplified procedures, </w:t>
      </w:r>
      <w:r w:rsidR="00877AF7">
        <w:rPr>
          <w:rFonts w:cs="Times New Roman"/>
          <w:color w:val="0D0D0D" w:themeColor="text1" w:themeTint="F2"/>
          <w:lang w:val="en-GB"/>
        </w:rPr>
        <w:t xml:space="preserve">contingency </w:t>
      </w:r>
      <w:r w:rsidR="00E72B30">
        <w:rPr>
          <w:rFonts w:cs="Times New Roman"/>
          <w:color w:val="0D0D0D" w:themeColor="text1" w:themeTint="F2"/>
          <w:lang w:val="en-GB"/>
        </w:rPr>
        <w:t xml:space="preserve">and survey </w:t>
      </w:r>
      <w:r w:rsidR="00877AF7">
        <w:rPr>
          <w:rFonts w:cs="Times New Roman"/>
          <w:color w:val="0D0D0D" w:themeColor="text1" w:themeTint="F2"/>
          <w:lang w:val="en-GB"/>
        </w:rPr>
        <w:t xml:space="preserve">plans, </w:t>
      </w:r>
      <w:r w:rsidRPr="0032757E">
        <w:rPr>
          <w:rFonts w:cs="Times New Roman"/>
          <w:color w:val="0D0D0D" w:themeColor="text1" w:themeTint="F2"/>
          <w:lang w:val="en-GB"/>
        </w:rPr>
        <w:t>harmonization and acceptance of documents, pilot</w:t>
      </w:r>
      <w:r w:rsidR="00406519">
        <w:rPr>
          <w:rFonts w:cs="Times New Roman"/>
          <w:color w:val="0D0D0D" w:themeColor="text1" w:themeTint="F2"/>
          <w:lang w:val="en-GB"/>
        </w:rPr>
        <w:t xml:space="preserve"> missions, and</w:t>
      </w:r>
      <w:r w:rsidRPr="0032757E">
        <w:rPr>
          <w:rFonts w:cs="Times New Roman"/>
          <w:color w:val="0D0D0D" w:themeColor="text1" w:themeTint="F2"/>
          <w:lang w:val="en-GB"/>
        </w:rPr>
        <w:t xml:space="preserve"> harmonization of certificates in selected </w:t>
      </w:r>
      <w:proofErr w:type="gramStart"/>
      <w:r w:rsidRPr="0032757E">
        <w:rPr>
          <w:rFonts w:cs="Times New Roman"/>
          <w:color w:val="0D0D0D" w:themeColor="text1" w:themeTint="F2"/>
          <w:lang w:val="en-GB"/>
        </w:rPr>
        <w:t>sectors</w:t>
      </w:r>
      <w:r w:rsidR="005A72D8">
        <w:rPr>
          <w:rFonts w:cs="Times New Roman"/>
          <w:color w:val="0D0D0D" w:themeColor="text1" w:themeTint="F2"/>
          <w:lang w:val="en-GB"/>
        </w:rPr>
        <w:t>;</w:t>
      </w:r>
      <w:proofErr w:type="gramEnd"/>
    </w:p>
    <w:p w14:paraId="43606712" w14:textId="77777777" w:rsidR="00C3249E" w:rsidRDefault="003F30A9" w:rsidP="0026334F">
      <w:pPr>
        <w:pStyle w:val="ListParagraph"/>
        <w:numPr>
          <w:ilvl w:val="0"/>
          <w:numId w:val="117"/>
        </w:numPr>
        <w:rPr>
          <w:rFonts w:cs="Times New Roman"/>
          <w:color w:val="0D0D0D" w:themeColor="text1" w:themeTint="F2"/>
        </w:rPr>
      </w:pPr>
      <w:r>
        <w:rPr>
          <w:rFonts w:cs="Times New Roman"/>
          <w:color w:val="0D0D0D" w:themeColor="text1" w:themeTint="F2"/>
        </w:rPr>
        <w:t xml:space="preserve">Support to regional stakeholders for the </w:t>
      </w:r>
      <w:r w:rsidR="00335853">
        <w:rPr>
          <w:rFonts w:cs="Times New Roman"/>
          <w:color w:val="0D0D0D" w:themeColor="text1" w:themeTint="F2"/>
        </w:rPr>
        <w:t xml:space="preserve">mutual </w:t>
      </w:r>
      <w:r>
        <w:rPr>
          <w:rFonts w:cs="Times New Roman"/>
          <w:color w:val="0D0D0D" w:themeColor="text1" w:themeTint="F2"/>
        </w:rPr>
        <w:t>r</w:t>
      </w:r>
      <w:r w:rsidR="0026334F" w:rsidRPr="0026334F">
        <w:rPr>
          <w:rFonts w:cs="Times New Roman"/>
          <w:color w:val="0D0D0D" w:themeColor="text1" w:themeTint="F2"/>
        </w:rPr>
        <w:t>ecogni</w:t>
      </w:r>
      <w:r>
        <w:rPr>
          <w:rFonts w:cs="Times New Roman"/>
          <w:color w:val="0D0D0D" w:themeColor="text1" w:themeTint="F2"/>
        </w:rPr>
        <w:t>tion</w:t>
      </w:r>
      <w:r w:rsidR="0026334F" w:rsidRPr="0026334F">
        <w:rPr>
          <w:rFonts w:cs="Times New Roman"/>
          <w:color w:val="0D0D0D" w:themeColor="text1" w:themeTint="F2"/>
        </w:rPr>
        <w:t xml:space="preserve"> and accept</w:t>
      </w:r>
      <w:r w:rsidR="00335853">
        <w:rPr>
          <w:rFonts w:cs="Times New Roman"/>
          <w:color w:val="0D0D0D" w:themeColor="text1" w:themeTint="F2"/>
        </w:rPr>
        <w:t>ance</w:t>
      </w:r>
      <w:r w:rsidR="0026334F" w:rsidRPr="0026334F">
        <w:rPr>
          <w:rFonts w:cs="Times New Roman"/>
          <w:color w:val="0D0D0D" w:themeColor="text1" w:themeTint="F2"/>
        </w:rPr>
        <w:t xml:space="preserve"> of official controls at crossing points for fruit and vegetables</w:t>
      </w:r>
      <w:r w:rsidR="00C3249E">
        <w:rPr>
          <w:rFonts w:cs="Times New Roman"/>
          <w:color w:val="0D0D0D" w:themeColor="text1" w:themeTint="F2"/>
        </w:rPr>
        <w:t xml:space="preserve"> as well as in the area of food </w:t>
      </w:r>
      <w:proofErr w:type="gramStart"/>
      <w:r w:rsidR="00C3249E">
        <w:rPr>
          <w:rFonts w:cs="Times New Roman"/>
          <w:color w:val="0D0D0D" w:themeColor="text1" w:themeTint="F2"/>
        </w:rPr>
        <w:t>safety;</w:t>
      </w:r>
      <w:proofErr w:type="gramEnd"/>
    </w:p>
    <w:p w14:paraId="2315C7DE" w14:textId="03855273" w:rsidR="0026334F" w:rsidRPr="00356F8F" w:rsidRDefault="0037519C" w:rsidP="00356F8F">
      <w:pPr>
        <w:pStyle w:val="ListParagraph"/>
        <w:numPr>
          <w:ilvl w:val="0"/>
          <w:numId w:val="117"/>
        </w:numPr>
        <w:rPr>
          <w:rFonts w:cs="Times New Roman"/>
          <w:color w:val="0D0D0D" w:themeColor="text1" w:themeTint="F2"/>
        </w:rPr>
      </w:pPr>
      <w:r>
        <w:rPr>
          <w:rFonts w:cs="Times New Roman"/>
          <w:color w:val="0D0D0D" w:themeColor="text1" w:themeTint="F2"/>
        </w:rPr>
        <w:t>T</w:t>
      </w:r>
      <w:r w:rsidR="004E52E2" w:rsidRPr="00356F8F">
        <w:rPr>
          <w:rFonts w:cs="Times New Roman"/>
          <w:color w:val="0D0D0D" w:themeColor="text1" w:themeTint="F2"/>
        </w:rPr>
        <w:t xml:space="preserve">echnical support to </w:t>
      </w:r>
      <w:r w:rsidR="00356F8F">
        <w:rPr>
          <w:rFonts w:cs="Times New Roman"/>
          <w:color w:val="0D0D0D" w:themeColor="text1" w:themeTint="F2"/>
        </w:rPr>
        <w:t>recognize compliant economic operat</w:t>
      </w:r>
      <w:r w:rsidR="00D36730">
        <w:rPr>
          <w:rFonts w:cs="Times New Roman"/>
          <w:color w:val="0D0D0D" w:themeColor="text1" w:themeTint="F2"/>
        </w:rPr>
        <w:t>ors, laboratories</w:t>
      </w:r>
      <w:r w:rsidR="00356F8F">
        <w:rPr>
          <w:rFonts w:cs="Times New Roman"/>
          <w:color w:val="0D0D0D" w:themeColor="text1" w:themeTint="F2"/>
        </w:rPr>
        <w:t xml:space="preserve"> and </w:t>
      </w:r>
      <w:r w:rsidR="0026334F" w:rsidRPr="00356F8F">
        <w:rPr>
          <w:rFonts w:cs="Times New Roman"/>
          <w:color w:val="0D0D0D" w:themeColor="text1" w:themeTint="F2"/>
        </w:rPr>
        <w:t>establishments trad</w:t>
      </w:r>
      <w:r w:rsidR="003F1752">
        <w:rPr>
          <w:rFonts w:cs="Times New Roman"/>
          <w:color w:val="0D0D0D" w:themeColor="text1" w:themeTint="F2"/>
        </w:rPr>
        <w:t>ing</w:t>
      </w:r>
      <w:r w:rsidR="0026334F" w:rsidRPr="00356F8F">
        <w:rPr>
          <w:rFonts w:cs="Times New Roman"/>
          <w:color w:val="0D0D0D" w:themeColor="text1" w:themeTint="F2"/>
        </w:rPr>
        <w:t xml:space="preserve"> products for human </w:t>
      </w:r>
      <w:proofErr w:type="gramStart"/>
      <w:r w:rsidR="0026334F" w:rsidRPr="00356F8F">
        <w:rPr>
          <w:rFonts w:cs="Times New Roman"/>
          <w:color w:val="0D0D0D" w:themeColor="text1" w:themeTint="F2"/>
        </w:rPr>
        <w:t>consumption</w:t>
      </w:r>
      <w:r w:rsidR="003F1752">
        <w:rPr>
          <w:rFonts w:cs="Times New Roman"/>
          <w:color w:val="0D0D0D" w:themeColor="text1" w:themeTint="F2"/>
        </w:rPr>
        <w:t>;</w:t>
      </w:r>
      <w:proofErr w:type="gramEnd"/>
      <w:r w:rsidR="0026334F" w:rsidRPr="00356F8F">
        <w:rPr>
          <w:rFonts w:cs="Times New Roman"/>
          <w:color w:val="0D0D0D" w:themeColor="text1" w:themeTint="F2"/>
        </w:rPr>
        <w:t xml:space="preserve"> </w:t>
      </w:r>
    </w:p>
    <w:p w14:paraId="286F57AA" w14:textId="088F009C" w:rsidR="005A72D8" w:rsidRPr="004A4C6A" w:rsidRDefault="00D36730" w:rsidP="004A4C6A">
      <w:pPr>
        <w:pStyle w:val="ListParagraph"/>
        <w:numPr>
          <w:ilvl w:val="0"/>
          <w:numId w:val="117"/>
        </w:numPr>
        <w:rPr>
          <w:rFonts w:cs="Times New Roman"/>
          <w:color w:val="0D0D0D" w:themeColor="text1" w:themeTint="F2"/>
        </w:rPr>
      </w:pPr>
      <w:r>
        <w:rPr>
          <w:rFonts w:cs="Times New Roman"/>
          <w:color w:val="0D0D0D" w:themeColor="text1" w:themeTint="F2"/>
        </w:rPr>
        <w:t xml:space="preserve">Technical assistance to </w:t>
      </w:r>
      <w:r w:rsidR="00A06D91">
        <w:rPr>
          <w:rFonts w:cs="Times New Roman"/>
          <w:color w:val="0D0D0D" w:themeColor="text1" w:themeTint="F2"/>
        </w:rPr>
        <w:t>promote</w:t>
      </w:r>
      <w:r w:rsidR="0026334F" w:rsidRPr="0026334F">
        <w:rPr>
          <w:rFonts w:cs="Times New Roman"/>
          <w:color w:val="0D0D0D" w:themeColor="text1" w:themeTint="F2"/>
        </w:rPr>
        <w:t xml:space="preserve"> trade of organic </w:t>
      </w:r>
      <w:proofErr w:type="gramStart"/>
      <w:r w:rsidR="0026334F" w:rsidRPr="0026334F">
        <w:rPr>
          <w:rFonts w:cs="Times New Roman"/>
          <w:color w:val="0D0D0D" w:themeColor="text1" w:themeTint="F2"/>
        </w:rPr>
        <w:t>products</w:t>
      </w:r>
      <w:r w:rsidR="00A06D91">
        <w:rPr>
          <w:rFonts w:cs="Times New Roman"/>
          <w:color w:val="0D0D0D" w:themeColor="text1" w:themeTint="F2"/>
        </w:rPr>
        <w:t>;</w:t>
      </w:r>
      <w:proofErr w:type="gramEnd"/>
      <w:r w:rsidR="0026334F" w:rsidRPr="0026334F">
        <w:rPr>
          <w:rFonts w:cs="Times New Roman"/>
          <w:color w:val="0D0D0D" w:themeColor="text1" w:themeTint="F2"/>
        </w:rPr>
        <w:t xml:space="preserve"> </w:t>
      </w:r>
    </w:p>
    <w:p w14:paraId="6B7EA971" w14:textId="77777777" w:rsidR="003528AF" w:rsidRDefault="003528AF" w:rsidP="003528AF"/>
    <w:p w14:paraId="3C6EBBE1" w14:textId="3B81E088" w:rsidR="003528AF" w:rsidRDefault="003528AF" w:rsidP="008631B4">
      <w:r>
        <w:t>Activities related to Output 1.2</w:t>
      </w:r>
    </w:p>
    <w:p w14:paraId="371EA6EC" w14:textId="77777777" w:rsidR="00A06D91" w:rsidRDefault="00A06D91" w:rsidP="004A4C6A"/>
    <w:p w14:paraId="54A75DBD" w14:textId="77777777" w:rsidR="00963287" w:rsidRPr="004A4C6A" w:rsidRDefault="00577AE6"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 xml:space="preserve">Technical assistance </w:t>
      </w:r>
      <w:r w:rsidR="00252B08" w:rsidRPr="004A4C6A">
        <w:rPr>
          <w:rFonts w:cs="Times New Roman"/>
          <w:color w:val="0D0D0D" w:themeColor="text1" w:themeTint="F2"/>
        </w:rPr>
        <w:t>to</w:t>
      </w:r>
      <w:r w:rsidR="00285DCC" w:rsidRPr="004A4C6A">
        <w:rPr>
          <w:rFonts w:cs="Times New Roman"/>
          <w:color w:val="0D0D0D" w:themeColor="text1" w:themeTint="F2"/>
        </w:rPr>
        <w:t xml:space="preserve"> strengthen capacities of</w:t>
      </w:r>
      <w:r w:rsidR="00252B08" w:rsidRPr="004A4C6A">
        <w:rPr>
          <w:rFonts w:cs="Times New Roman"/>
          <w:color w:val="0D0D0D" w:themeColor="text1" w:themeTint="F2"/>
        </w:rPr>
        <w:t xml:space="preserve"> quality infrastructure stakeholders (i.e. national designating authorities, accreditation bodies, standardisation bodies, metrology institutes, conformity assessment bodies, and market surveillance authorities) to effectively assess and certify products against EU standards and regulatory </w:t>
      </w:r>
      <w:proofErr w:type="gramStart"/>
      <w:r w:rsidR="00252B08" w:rsidRPr="004A4C6A">
        <w:rPr>
          <w:rFonts w:cs="Times New Roman"/>
          <w:color w:val="0D0D0D" w:themeColor="text1" w:themeTint="F2"/>
        </w:rPr>
        <w:t>requirements;</w:t>
      </w:r>
      <w:proofErr w:type="gramEnd"/>
    </w:p>
    <w:p w14:paraId="0030DB4F" w14:textId="0927649B" w:rsidR="00420366" w:rsidRPr="004A4C6A" w:rsidRDefault="00EC3967" w:rsidP="004A4C6A">
      <w:pPr>
        <w:pStyle w:val="ListParagraph"/>
        <w:numPr>
          <w:ilvl w:val="0"/>
          <w:numId w:val="117"/>
        </w:numPr>
        <w:rPr>
          <w:rFonts w:cs="Times New Roman"/>
          <w:color w:val="0D0D0D" w:themeColor="text1" w:themeTint="F2"/>
          <w:lang w:val="en-US"/>
        </w:rPr>
      </w:pPr>
      <w:r w:rsidRPr="004A4C6A">
        <w:rPr>
          <w:rFonts w:cs="Times New Roman"/>
          <w:color w:val="0D0D0D" w:themeColor="text1" w:themeTint="F2"/>
          <w:lang w:val="en-US"/>
        </w:rPr>
        <w:t>Support</w:t>
      </w:r>
      <w:r w:rsidR="00ED58D4" w:rsidRPr="004A4C6A">
        <w:rPr>
          <w:rFonts w:cs="Times New Roman"/>
          <w:color w:val="0D0D0D" w:themeColor="text1" w:themeTint="F2"/>
          <w:lang w:val="en-US"/>
        </w:rPr>
        <w:t xml:space="preserve"> to</w:t>
      </w:r>
      <w:r w:rsidRPr="004A4C6A">
        <w:rPr>
          <w:rFonts w:cs="Times New Roman"/>
          <w:color w:val="0D0D0D" w:themeColor="text1" w:themeTint="F2"/>
          <w:lang w:val="en-US"/>
        </w:rPr>
        <w:t xml:space="preserve"> </w:t>
      </w:r>
      <w:r w:rsidR="00420366" w:rsidRPr="004A4C6A">
        <w:rPr>
          <w:rFonts w:cs="Times New Roman"/>
          <w:color w:val="0D0D0D" w:themeColor="text1" w:themeTint="F2"/>
          <w:lang w:val="en-US"/>
        </w:rPr>
        <w:t>institutional</w:t>
      </w:r>
      <w:r w:rsidRPr="004A4C6A">
        <w:rPr>
          <w:rFonts w:cs="Times New Roman"/>
          <w:color w:val="0D0D0D" w:themeColor="text1" w:themeTint="F2"/>
          <w:lang w:val="en-US"/>
        </w:rPr>
        <w:t xml:space="preserve"> </w:t>
      </w:r>
      <w:r w:rsidR="00B40411" w:rsidRPr="004A4C6A">
        <w:rPr>
          <w:rFonts w:cs="Times New Roman"/>
          <w:color w:val="0D0D0D" w:themeColor="text1" w:themeTint="F2"/>
          <w:lang w:val="en-US"/>
        </w:rPr>
        <w:t>cooperation</w:t>
      </w:r>
      <w:r w:rsidR="00420366" w:rsidRPr="004A4C6A">
        <w:rPr>
          <w:rFonts w:cs="Times New Roman"/>
          <w:color w:val="0D0D0D" w:themeColor="text1" w:themeTint="F2"/>
          <w:lang w:val="en-US"/>
        </w:rPr>
        <w:t xml:space="preserve"> at regional level to</w:t>
      </w:r>
      <w:r w:rsidR="00ED58D4" w:rsidRPr="004A4C6A">
        <w:rPr>
          <w:rFonts w:cs="Times New Roman"/>
          <w:color w:val="0D0D0D" w:themeColor="text1" w:themeTint="F2"/>
          <w:lang w:val="en-US"/>
        </w:rPr>
        <w:t xml:space="preserve"> recognize</w:t>
      </w:r>
      <w:r w:rsidR="00420366" w:rsidRPr="004A4C6A">
        <w:rPr>
          <w:rFonts w:cs="Times New Roman"/>
          <w:color w:val="0D0D0D" w:themeColor="text1" w:themeTint="F2"/>
          <w:lang w:val="en-US"/>
        </w:rPr>
        <w:t xml:space="preserve"> </w:t>
      </w:r>
      <w:r w:rsidR="00963287" w:rsidRPr="004A4C6A">
        <w:rPr>
          <w:rFonts w:cs="Times New Roman"/>
          <w:color w:val="0D0D0D" w:themeColor="text1" w:themeTint="F2"/>
          <w:lang w:val="en-US"/>
        </w:rPr>
        <w:t xml:space="preserve">conformity assessment </w:t>
      </w:r>
      <w:r w:rsidR="00ED58D4" w:rsidRPr="004A4C6A">
        <w:rPr>
          <w:rFonts w:cs="Times New Roman"/>
          <w:color w:val="0D0D0D" w:themeColor="text1" w:themeTint="F2"/>
          <w:lang w:val="en-US"/>
        </w:rPr>
        <w:t>results, starting with priority</w:t>
      </w:r>
      <w:r w:rsidR="00963287" w:rsidRPr="004A4C6A">
        <w:rPr>
          <w:rFonts w:cs="Times New Roman"/>
          <w:color w:val="0D0D0D" w:themeColor="text1" w:themeTint="F2"/>
          <w:lang w:val="en-US"/>
        </w:rPr>
        <w:t xml:space="preserve"> sectors (i.e. electrical products, machinery, construction products</w:t>
      </w:r>
      <w:proofErr w:type="gramStart"/>
      <w:r w:rsidR="00963287" w:rsidRPr="004A4C6A">
        <w:rPr>
          <w:rFonts w:cs="Times New Roman"/>
          <w:color w:val="0D0D0D" w:themeColor="text1" w:themeTint="F2"/>
          <w:lang w:val="en-US"/>
        </w:rPr>
        <w:t>)</w:t>
      </w:r>
      <w:r w:rsidR="00ED58D4" w:rsidRPr="004A4C6A">
        <w:rPr>
          <w:rFonts w:cs="Times New Roman"/>
          <w:color w:val="0D0D0D" w:themeColor="text1" w:themeTint="F2"/>
          <w:lang w:val="en-US"/>
        </w:rPr>
        <w:t>;</w:t>
      </w:r>
      <w:proofErr w:type="gramEnd"/>
    </w:p>
    <w:p w14:paraId="26EB9C85" w14:textId="3EE43DB2" w:rsidR="00150922" w:rsidRPr="004A4C6A" w:rsidRDefault="00EB77B6"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Facilitate regional cooperation</w:t>
      </w:r>
      <w:r w:rsidR="00B40411" w:rsidRPr="004A4C6A">
        <w:rPr>
          <w:rFonts w:cs="Times New Roman"/>
          <w:color w:val="0D0D0D" w:themeColor="text1" w:themeTint="F2"/>
        </w:rPr>
        <w:t xml:space="preserve"> </w:t>
      </w:r>
      <w:r w:rsidRPr="004A4C6A">
        <w:rPr>
          <w:rFonts w:cs="Times New Roman"/>
          <w:color w:val="0D0D0D" w:themeColor="text1" w:themeTint="F2"/>
        </w:rPr>
        <w:t>between relevant agencies involved in the clearance of goods, i.e. customs and</w:t>
      </w:r>
      <w:r w:rsidR="00EC3967" w:rsidRPr="004A4C6A">
        <w:rPr>
          <w:rFonts w:cs="Times New Roman"/>
          <w:color w:val="0D0D0D" w:themeColor="text1" w:themeTint="F2"/>
        </w:rPr>
        <w:t xml:space="preserve"> </w:t>
      </w:r>
      <w:r w:rsidR="00B40411" w:rsidRPr="004A4C6A">
        <w:rPr>
          <w:rFonts w:cs="Times New Roman"/>
          <w:color w:val="0D0D0D" w:themeColor="text1" w:themeTint="F2"/>
        </w:rPr>
        <w:t xml:space="preserve">market surveillance </w:t>
      </w:r>
      <w:proofErr w:type="gramStart"/>
      <w:r w:rsidR="00B40411" w:rsidRPr="004A4C6A">
        <w:rPr>
          <w:rFonts w:cs="Times New Roman"/>
          <w:color w:val="0D0D0D" w:themeColor="text1" w:themeTint="F2"/>
        </w:rPr>
        <w:t>agencies</w:t>
      </w:r>
      <w:r w:rsidRPr="004A4C6A">
        <w:rPr>
          <w:rFonts w:cs="Times New Roman"/>
          <w:color w:val="0D0D0D" w:themeColor="text1" w:themeTint="F2"/>
        </w:rPr>
        <w:t>;</w:t>
      </w:r>
      <w:proofErr w:type="gramEnd"/>
    </w:p>
    <w:p w14:paraId="48A54592" w14:textId="77777777" w:rsidR="006F741A" w:rsidRDefault="006F741A" w:rsidP="003528AF"/>
    <w:p w14:paraId="591E0F10" w14:textId="7EFCA972" w:rsidR="003528AF" w:rsidRDefault="003528AF" w:rsidP="003528AF">
      <w:r>
        <w:t>Activities related to Output 1.3</w:t>
      </w:r>
    </w:p>
    <w:p w14:paraId="0DBBEA3D" w14:textId="77777777" w:rsidR="00EE53AE" w:rsidRPr="004A4C6A" w:rsidRDefault="00EE53AE" w:rsidP="004A4C6A">
      <w:pPr>
        <w:pStyle w:val="ListParagraph"/>
        <w:rPr>
          <w:rFonts w:cs="Times New Roman"/>
          <w:color w:val="0D0D0D" w:themeColor="text1" w:themeTint="F2"/>
        </w:rPr>
      </w:pPr>
    </w:p>
    <w:p w14:paraId="2406EC94" w14:textId="44B13E56" w:rsidR="003F7CD3" w:rsidRPr="004A4C6A" w:rsidRDefault="0037519C"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S</w:t>
      </w:r>
      <w:r w:rsidR="00CE3D3F" w:rsidRPr="004A4C6A">
        <w:rPr>
          <w:rFonts w:cs="Times New Roman"/>
          <w:color w:val="0D0D0D" w:themeColor="text1" w:themeTint="F2"/>
        </w:rPr>
        <w:t>upport to implement</w:t>
      </w:r>
      <w:r w:rsidR="003F7CD3" w:rsidRPr="004A4C6A">
        <w:rPr>
          <w:rFonts w:cs="Times New Roman"/>
          <w:color w:val="0D0D0D" w:themeColor="text1" w:themeTint="F2"/>
        </w:rPr>
        <w:t xml:space="preserve"> rules of origin </w:t>
      </w:r>
      <w:r w:rsidR="00CE3D3F" w:rsidRPr="004A4C6A">
        <w:rPr>
          <w:rFonts w:cs="Times New Roman"/>
          <w:color w:val="0D0D0D" w:themeColor="text1" w:themeTint="F2"/>
        </w:rPr>
        <w:t xml:space="preserve">in </w:t>
      </w:r>
      <w:r w:rsidR="003F7CD3" w:rsidRPr="004A4C6A">
        <w:rPr>
          <w:rFonts w:cs="Times New Roman"/>
          <w:color w:val="0D0D0D" w:themeColor="text1" w:themeTint="F2"/>
        </w:rPr>
        <w:t>CEFTA</w:t>
      </w:r>
      <w:r w:rsidR="006C5F3C" w:rsidRPr="004A4C6A">
        <w:rPr>
          <w:rFonts w:cs="Times New Roman"/>
          <w:color w:val="0D0D0D" w:themeColor="text1" w:themeTint="F2"/>
        </w:rPr>
        <w:t xml:space="preserve"> and with</w:t>
      </w:r>
      <w:r w:rsidR="003F7CD3" w:rsidRPr="004A4C6A">
        <w:rPr>
          <w:rFonts w:cs="Times New Roman"/>
          <w:color w:val="0D0D0D" w:themeColor="text1" w:themeTint="F2"/>
        </w:rPr>
        <w:t xml:space="preserve"> trading partners</w:t>
      </w:r>
      <w:r w:rsidR="00CE3D3F" w:rsidRPr="004A4C6A">
        <w:rPr>
          <w:rFonts w:cs="Times New Roman"/>
          <w:color w:val="0D0D0D" w:themeColor="text1" w:themeTint="F2"/>
        </w:rPr>
        <w:t xml:space="preserve"> as per </w:t>
      </w:r>
      <w:r w:rsidR="006C5F3C" w:rsidRPr="004A4C6A">
        <w:rPr>
          <w:rFonts w:cs="Times New Roman"/>
          <w:color w:val="0D0D0D" w:themeColor="text1" w:themeTint="F2"/>
        </w:rPr>
        <w:t xml:space="preserve">the revised Convention on pan-Euro-Mediterranean </w:t>
      </w:r>
      <w:r w:rsidR="00FA6C02" w:rsidRPr="004A4C6A">
        <w:rPr>
          <w:rFonts w:cs="Times New Roman"/>
          <w:color w:val="0D0D0D" w:themeColor="text1" w:themeTint="F2"/>
        </w:rPr>
        <w:t xml:space="preserve">common </w:t>
      </w:r>
      <w:proofErr w:type="gramStart"/>
      <w:r w:rsidR="00CF4997" w:rsidRPr="004A4C6A">
        <w:rPr>
          <w:rFonts w:cs="Times New Roman"/>
          <w:color w:val="0D0D0D" w:themeColor="text1" w:themeTint="F2"/>
        </w:rPr>
        <w:t>provisions;</w:t>
      </w:r>
      <w:proofErr w:type="gramEnd"/>
    </w:p>
    <w:p w14:paraId="38AEB751" w14:textId="3B28E14C" w:rsidR="003F7CD3" w:rsidRPr="004A4C6A" w:rsidRDefault="00CF4997"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Technical assistance to</w:t>
      </w:r>
      <w:r w:rsidR="003F7CD3" w:rsidRPr="004A4C6A">
        <w:rPr>
          <w:rFonts w:cs="Times New Roman"/>
          <w:color w:val="0D0D0D" w:themeColor="text1" w:themeTint="F2"/>
        </w:rPr>
        <w:t xml:space="preserve"> authorised economic operators (AEOs) </w:t>
      </w:r>
      <w:r w:rsidR="00F75E3A" w:rsidRPr="004A4C6A">
        <w:rPr>
          <w:rFonts w:cs="Times New Roman"/>
          <w:color w:val="0D0D0D" w:themeColor="text1" w:themeTint="F2"/>
        </w:rPr>
        <w:t xml:space="preserve">schemes </w:t>
      </w:r>
      <w:r w:rsidR="003D3979" w:rsidRPr="004A4C6A">
        <w:rPr>
          <w:rFonts w:cs="Times New Roman"/>
          <w:color w:val="0D0D0D" w:themeColor="text1" w:themeTint="F2"/>
        </w:rPr>
        <w:t>in</w:t>
      </w:r>
      <w:r w:rsidR="003F7CD3" w:rsidRPr="004A4C6A">
        <w:rPr>
          <w:rFonts w:cs="Times New Roman"/>
          <w:color w:val="0D0D0D" w:themeColor="text1" w:themeTint="F2"/>
        </w:rPr>
        <w:t xml:space="preserve"> CEFTA</w:t>
      </w:r>
      <w:r w:rsidR="003D3979" w:rsidRPr="004A4C6A">
        <w:rPr>
          <w:rFonts w:cs="Times New Roman"/>
          <w:color w:val="0D0D0D" w:themeColor="text1" w:themeTint="F2"/>
        </w:rPr>
        <w:t xml:space="preserve">, i.e. validation of national programmes, mutual recognitions of AEO programmes, support to the regional AEO association, </w:t>
      </w:r>
      <w:r w:rsidR="00F75E3A" w:rsidRPr="004A4C6A">
        <w:rPr>
          <w:rFonts w:cs="Times New Roman"/>
          <w:color w:val="0D0D0D" w:themeColor="text1" w:themeTint="F2"/>
        </w:rPr>
        <w:t xml:space="preserve">joint missions to promote </w:t>
      </w:r>
      <w:r w:rsidR="00E21F72" w:rsidRPr="004A4C6A">
        <w:rPr>
          <w:rFonts w:cs="Times New Roman"/>
          <w:color w:val="0D0D0D" w:themeColor="text1" w:themeTint="F2"/>
        </w:rPr>
        <w:t xml:space="preserve">the </w:t>
      </w:r>
      <w:r w:rsidR="00F75E3A" w:rsidRPr="004A4C6A">
        <w:rPr>
          <w:rFonts w:cs="Times New Roman"/>
          <w:color w:val="0D0D0D" w:themeColor="text1" w:themeTint="F2"/>
        </w:rPr>
        <w:t xml:space="preserve">benefits of the AEO </w:t>
      </w:r>
      <w:proofErr w:type="gramStart"/>
      <w:r w:rsidR="00F75E3A" w:rsidRPr="004A4C6A">
        <w:rPr>
          <w:rFonts w:cs="Times New Roman"/>
          <w:color w:val="0D0D0D" w:themeColor="text1" w:themeTint="F2"/>
        </w:rPr>
        <w:t>status;</w:t>
      </w:r>
      <w:proofErr w:type="gramEnd"/>
    </w:p>
    <w:p w14:paraId="0E9E1FBA" w14:textId="0D7E3D2C" w:rsidR="00BB5BC1" w:rsidRPr="004A4C6A" w:rsidRDefault="00666628"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Institutional and technical assistance to strengthen regional cooperation on cross-border e-commerce in line with the EU acquis</w:t>
      </w:r>
      <w:r w:rsidR="006F5B1F" w:rsidRPr="004A4C6A">
        <w:rPr>
          <w:rFonts w:cs="Times New Roman"/>
          <w:color w:val="0D0D0D" w:themeColor="text1" w:themeTint="F2"/>
        </w:rPr>
        <w:t xml:space="preserve"> (i.e. </w:t>
      </w:r>
      <w:r w:rsidR="00A03A20" w:rsidRPr="004A4C6A">
        <w:rPr>
          <w:rFonts w:cs="Times New Roman"/>
          <w:color w:val="0D0D0D" w:themeColor="text1" w:themeTint="F2"/>
        </w:rPr>
        <w:t xml:space="preserve">legal framework, </w:t>
      </w:r>
      <w:r w:rsidR="002A012D" w:rsidRPr="004A4C6A">
        <w:rPr>
          <w:rFonts w:cs="Times New Roman"/>
          <w:color w:val="0D0D0D" w:themeColor="text1" w:themeTint="F2"/>
        </w:rPr>
        <w:t xml:space="preserve">tax harmonization, </w:t>
      </w:r>
      <w:r w:rsidR="006F5B1F" w:rsidRPr="004A4C6A">
        <w:rPr>
          <w:rFonts w:cs="Times New Roman"/>
          <w:color w:val="0D0D0D" w:themeColor="text1" w:themeTint="F2"/>
        </w:rPr>
        <w:t>customs clear</w:t>
      </w:r>
      <w:r w:rsidR="00726ABE" w:rsidRPr="004A4C6A">
        <w:rPr>
          <w:rFonts w:cs="Times New Roman"/>
          <w:color w:val="0D0D0D" w:themeColor="text1" w:themeTint="F2"/>
        </w:rPr>
        <w:t>ance, parcel delivery operators</w:t>
      </w:r>
      <w:r w:rsidR="00DC54EA" w:rsidRPr="004A4C6A">
        <w:rPr>
          <w:rFonts w:cs="Times New Roman"/>
          <w:color w:val="0D0D0D" w:themeColor="text1" w:themeTint="F2"/>
        </w:rPr>
        <w:t>, reduce barriers to online sales, prevention of fraud</w:t>
      </w:r>
      <w:proofErr w:type="gramStart"/>
      <w:r w:rsidR="00A03A20" w:rsidRPr="004A4C6A">
        <w:rPr>
          <w:rFonts w:cs="Times New Roman"/>
          <w:color w:val="0D0D0D" w:themeColor="text1" w:themeTint="F2"/>
        </w:rPr>
        <w:t>);</w:t>
      </w:r>
      <w:proofErr w:type="gramEnd"/>
    </w:p>
    <w:p w14:paraId="6ABFE132" w14:textId="77777777" w:rsidR="003528AF" w:rsidRDefault="003528AF" w:rsidP="003528AF"/>
    <w:p w14:paraId="6CB8E62E" w14:textId="4389A48D" w:rsidR="003528AF" w:rsidRDefault="003528AF" w:rsidP="003528AF">
      <w:r>
        <w:t>Activities related to Output 1.4</w:t>
      </w:r>
    </w:p>
    <w:p w14:paraId="563BE8ED" w14:textId="77777777" w:rsidR="00C75C5C" w:rsidRDefault="00C75C5C" w:rsidP="003528AF"/>
    <w:p w14:paraId="7E5FAE8C" w14:textId="113B7465" w:rsidR="005A5A6D" w:rsidRPr="004A4C6A" w:rsidRDefault="005A5A6D"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 xml:space="preserve">Institutional and technical assistance to harmonize working hours for agencies involved in customs </w:t>
      </w:r>
      <w:proofErr w:type="gramStart"/>
      <w:r w:rsidRPr="004A4C6A">
        <w:rPr>
          <w:rFonts w:cs="Times New Roman"/>
          <w:color w:val="0D0D0D" w:themeColor="text1" w:themeTint="F2"/>
        </w:rPr>
        <w:t>clearance;</w:t>
      </w:r>
      <w:proofErr w:type="gramEnd"/>
    </w:p>
    <w:p w14:paraId="01D296F5" w14:textId="6D8BBBBF" w:rsidR="005A5A6D" w:rsidRPr="004A4C6A" w:rsidRDefault="005A5A6D"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lastRenderedPageBreak/>
        <w:t xml:space="preserve">Support to </w:t>
      </w:r>
      <w:r w:rsidR="00634FE6" w:rsidRPr="004A4C6A">
        <w:rPr>
          <w:rFonts w:cs="Times New Roman"/>
          <w:color w:val="0D0D0D" w:themeColor="text1" w:themeTint="F2"/>
        </w:rPr>
        <w:t xml:space="preserve">improve transparency, harmonize and reduce </w:t>
      </w:r>
      <w:r w:rsidR="00856CA4" w:rsidRPr="004A4C6A">
        <w:rPr>
          <w:rFonts w:cs="Times New Roman"/>
          <w:color w:val="0D0D0D" w:themeColor="text1" w:themeTint="F2"/>
        </w:rPr>
        <w:t>trade-related</w:t>
      </w:r>
      <w:r w:rsidR="00634FE6" w:rsidRPr="004A4C6A">
        <w:rPr>
          <w:rFonts w:cs="Times New Roman"/>
          <w:color w:val="0D0D0D" w:themeColor="text1" w:themeTint="F2"/>
        </w:rPr>
        <w:t xml:space="preserve"> fees and </w:t>
      </w:r>
      <w:proofErr w:type="gramStart"/>
      <w:r w:rsidR="00634FE6" w:rsidRPr="004A4C6A">
        <w:rPr>
          <w:rFonts w:cs="Times New Roman"/>
          <w:color w:val="0D0D0D" w:themeColor="text1" w:themeTint="F2"/>
        </w:rPr>
        <w:t>charges</w:t>
      </w:r>
      <w:r w:rsidR="00856CA4" w:rsidRPr="004A4C6A">
        <w:rPr>
          <w:rFonts w:cs="Times New Roman"/>
          <w:color w:val="0D0D0D" w:themeColor="text1" w:themeTint="F2"/>
        </w:rPr>
        <w:t>;</w:t>
      </w:r>
      <w:proofErr w:type="gramEnd"/>
      <w:r w:rsidRPr="004A4C6A">
        <w:rPr>
          <w:rFonts w:cs="Times New Roman"/>
          <w:color w:val="0D0D0D" w:themeColor="text1" w:themeTint="F2"/>
        </w:rPr>
        <w:t xml:space="preserve"> </w:t>
      </w:r>
    </w:p>
    <w:p w14:paraId="3701BCAB" w14:textId="635ECF55" w:rsidR="005A5A6D" w:rsidRPr="004A4C6A" w:rsidRDefault="008419F9"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Regular m</w:t>
      </w:r>
      <w:r w:rsidR="00166A4C" w:rsidRPr="004A4C6A">
        <w:rPr>
          <w:rFonts w:cs="Times New Roman"/>
          <w:color w:val="0D0D0D" w:themeColor="text1" w:themeTint="F2"/>
        </w:rPr>
        <w:t xml:space="preserve">onitoring </w:t>
      </w:r>
      <w:r w:rsidRPr="004A4C6A">
        <w:rPr>
          <w:rFonts w:cs="Times New Roman"/>
          <w:color w:val="0D0D0D" w:themeColor="text1" w:themeTint="F2"/>
        </w:rPr>
        <w:t>of</w:t>
      </w:r>
      <w:r w:rsidR="00166A4C" w:rsidRPr="004A4C6A">
        <w:rPr>
          <w:rFonts w:cs="Times New Roman"/>
          <w:color w:val="0D0D0D" w:themeColor="text1" w:themeTint="F2"/>
        </w:rPr>
        <w:t xml:space="preserve"> non-tariff measures</w:t>
      </w:r>
      <w:r w:rsidR="003E19FC" w:rsidRPr="004A4C6A">
        <w:rPr>
          <w:rFonts w:cs="Times New Roman"/>
          <w:color w:val="0D0D0D" w:themeColor="text1" w:themeTint="F2"/>
        </w:rPr>
        <w:t xml:space="preserve"> and</w:t>
      </w:r>
      <w:r w:rsidR="00166A4C" w:rsidRPr="004A4C6A">
        <w:rPr>
          <w:rFonts w:cs="Times New Roman"/>
          <w:color w:val="0D0D0D" w:themeColor="text1" w:themeTint="F2"/>
        </w:rPr>
        <w:t xml:space="preserve"> </w:t>
      </w:r>
      <w:r w:rsidR="00677DD0" w:rsidRPr="004A4C6A">
        <w:rPr>
          <w:rFonts w:cs="Times New Roman"/>
          <w:color w:val="0D0D0D" w:themeColor="text1" w:themeTint="F2"/>
        </w:rPr>
        <w:t>support to t</w:t>
      </w:r>
      <w:r w:rsidR="003E19FC" w:rsidRPr="004A4C6A">
        <w:rPr>
          <w:rFonts w:cs="Times New Roman"/>
          <w:color w:val="0D0D0D" w:themeColor="text1" w:themeTint="F2"/>
        </w:rPr>
        <w:t>heir</w:t>
      </w:r>
      <w:r w:rsidR="00677DD0" w:rsidRPr="004A4C6A">
        <w:rPr>
          <w:rFonts w:cs="Times New Roman"/>
          <w:color w:val="0D0D0D" w:themeColor="text1" w:themeTint="F2"/>
        </w:rPr>
        <w:t xml:space="preserve"> </w:t>
      </w:r>
      <w:proofErr w:type="gramStart"/>
      <w:r w:rsidR="00677DD0" w:rsidRPr="004A4C6A">
        <w:rPr>
          <w:rFonts w:cs="Times New Roman"/>
          <w:color w:val="0D0D0D" w:themeColor="text1" w:themeTint="F2"/>
        </w:rPr>
        <w:t>resolution;</w:t>
      </w:r>
      <w:proofErr w:type="gramEnd"/>
      <w:r w:rsidR="00677DD0" w:rsidRPr="004A4C6A">
        <w:rPr>
          <w:rFonts w:cs="Times New Roman"/>
          <w:color w:val="0D0D0D" w:themeColor="text1" w:themeTint="F2"/>
        </w:rPr>
        <w:t xml:space="preserve"> </w:t>
      </w:r>
      <w:r w:rsidR="00166A4C" w:rsidRPr="004A4C6A">
        <w:rPr>
          <w:rFonts w:cs="Times New Roman"/>
          <w:color w:val="0D0D0D" w:themeColor="text1" w:themeTint="F2"/>
        </w:rPr>
        <w:t xml:space="preserve"> </w:t>
      </w:r>
    </w:p>
    <w:p w14:paraId="123CEE3A" w14:textId="77777777" w:rsidR="003528AF" w:rsidRDefault="003528AF" w:rsidP="003528AF"/>
    <w:p w14:paraId="2DBAEAF5" w14:textId="77777777" w:rsidR="00C60BF9" w:rsidRPr="003C0CD7" w:rsidRDefault="00C60BF9" w:rsidP="00C60BF9">
      <w:r w:rsidRPr="003C0CD7">
        <w:t>Activities related to Output 2.1:</w:t>
      </w:r>
    </w:p>
    <w:p w14:paraId="76D48B59" w14:textId="77777777" w:rsidR="00083BC4" w:rsidRDefault="00083BC4" w:rsidP="00C60BF9">
      <w:pPr>
        <w:rPr>
          <w:rFonts w:cs="Times New Roman"/>
          <w:color w:val="0D0D0D" w:themeColor="text1" w:themeTint="F2"/>
          <w:highlight w:val="yellow"/>
        </w:rPr>
      </w:pPr>
    </w:p>
    <w:p w14:paraId="2D0E5CBB" w14:textId="5021AA77" w:rsidR="00D22E5D" w:rsidRPr="004A4C6A" w:rsidRDefault="00AC07D5"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 xml:space="preserve">Technical assistance to </w:t>
      </w:r>
      <w:r w:rsidR="00AB1F5E" w:rsidRPr="004A4C6A">
        <w:rPr>
          <w:rFonts w:cs="Times New Roman"/>
          <w:color w:val="0D0D0D" w:themeColor="text1" w:themeTint="F2"/>
        </w:rPr>
        <w:t>remove obstacles to the free delivery of services within CEFTA</w:t>
      </w:r>
      <w:r w:rsidR="00BE2CDF" w:rsidRPr="004A4C6A">
        <w:rPr>
          <w:rFonts w:cs="Times New Roman"/>
          <w:color w:val="0D0D0D" w:themeColor="text1" w:themeTint="F2"/>
        </w:rPr>
        <w:t xml:space="preserve"> in all modes</w:t>
      </w:r>
      <w:r w:rsidR="000D4EDA" w:rsidRPr="004A4C6A">
        <w:rPr>
          <w:rFonts w:cs="Times New Roman"/>
          <w:color w:val="0D0D0D" w:themeColor="text1" w:themeTint="F2"/>
        </w:rPr>
        <w:t xml:space="preserve">, modelled on the EU services </w:t>
      </w:r>
      <w:proofErr w:type="gramStart"/>
      <w:r w:rsidR="000D4EDA" w:rsidRPr="004A4C6A">
        <w:rPr>
          <w:rFonts w:cs="Times New Roman"/>
          <w:color w:val="0D0D0D" w:themeColor="text1" w:themeTint="F2"/>
        </w:rPr>
        <w:t>directive</w:t>
      </w:r>
      <w:r w:rsidR="00AB1F5E" w:rsidRPr="004A4C6A">
        <w:rPr>
          <w:rFonts w:cs="Times New Roman"/>
          <w:color w:val="0D0D0D" w:themeColor="text1" w:themeTint="F2"/>
        </w:rPr>
        <w:t>;</w:t>
      </w:r>
      <w:proofErr w:type="gramEnd"/>
    </w:p>
    <w:p w14:paraId="4B772A1D" w14:textId="6077E0CE" w:rsidR="00887A73" w:rsidRPr="004A4C6A" w:rsidRDefault="008A0372"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 xml:space="preserve">Support to enable the freedom of establishment of service suppliers including the recognition of authorization </w:t>
      </w:r>
      <w:proofErr w:type="gramStart"/>
      <w:r w:rsidRPr="004A4C6A">
        <w:rPr>
          <w:rFonts w:cs="Times New Roman"/>
          <w:color w:val="0D0D0D" w:themeColor="text1" w:themeTint="F2"/>
        </w:rPr>
        <w:t>requirements;</w:t>
      </w:r>
      <w:proofErr w:type="gramEnd"/>
    </w:p>
    <w:p w14:paraId="38CE4E14" w14:textId="14E804D0" w:rsidR="00887A73" w:rsidRPr="004A4C6A" w:rsidRDefault="00887A73"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 xml:space="preserve">Technical assistance to enhance transparency to access information on regulatory requirements and procedures, as well as to facilitate access to regulatory procedures by digital </w:t>
      </w:r>
      <w:proofErr w:type="gramStart"/>
      <w:r w:rsidRPr="004A4C6A">
        <w:rPr>
          <w:rFonts w:cs="Times New Roman"/>
          <w:color w:val="0D0D0D" w:themeColor="text1" w:themeTint="F2"/>
        </w:rPr>
        <w:t>means;</w:t>
      </w:r>
      <w:proofErr w:type="gramEnd"/>
    </w:p>
    <w:p w14:paraId="1632C63A" w14:textId="77777777" w:rsidR="00303AB4" w:rsidRDefault="00303AB4" w:rsidP="00F30BC1">
      <w:pPr>
        <w:rPr>
          <w:rFonts w:cs="Times New Roman"/>
          <w:color w:val="0D0D0D" w:themeColor="text1" w:themeTint="F2"/>
          <w:lang w:val="en-GB"/>
        </w:rPr>
      </w:pPr>
    </w:p>
    <w:p w14:paraId="68E209A2" w14:textId="6F226969" w:rsidR="00303AB4" w:rsidRDefault="00303AB4" w:rsidP="004A4C6A">
      <w:pPr>
        <w:rPr>
          <w:rFonts w:cs="Times New Roman"/>
          <w:color w:val="0D0D0D" w:themeColor="text1" w:themeTint="F2"/>
          <w:lang w:val="en-GB"/>
        </w:rPr>
      </w:pPr>
      <w:r>
        <w:rPr>
          <w:rFonts w:cs="Times New Roman"/>
          <w:color w:val="0D0D0D" w:themeColor="text1" w:themeTint="F2"/>
          <w:lang w:val="en-GB"/>
        </w:rPr>
        <w:t>Activities related to Output 2.2</w:t>
      </w:r>
    </w:p>
    <w:p w14:paraId="46E85D86" w14:textId="77777777" w:rsidR="00C75C5C" w:rsidRDefault="00C75C5C" w:rsidP="004A4C6A">
      <w:pPr>
        <w:rPr>
          <w:rFonts w:cs="Times New Roman"/>
          <w:color w:val="0D0D0D" w:themeColor="text1" w:themeTint="F2"/>
          <w:lang w:val="en-GB"/>
        </w:rPr>
      </w:pPr>
    </w:p>
    <w:p w14:paraId="778660B4" w14:textId="1ABC51DC" w:rsidR="00AE0D5A" w:rsidRPr="004A4C6A" w:rsidRDefault="007C3390"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 xml:space="preserve">Support </w:t>
      </w:r>
      <w:r w:rsidR="000D0E52" w:rsidRPr="004A4C6A">
        <w:rPr>
          <w:rFonts w:cs="Times New Roman"/>
          <w:color w:val="0D0D0D" w:themeColor="text1" w:themeTint="F2"/>
        </w:rPr>
        <w:t xml:space="preserve">the extension </w:t>
      </w:r>
      <w:r w:rsidR="00576E4B" w:rsidRPr="004A4C6A">
        <w:rPr>
          <w:rFonts w:cs="Times New Roman"/>
          <w:color w:val="0D0D0D" w:themeColor="text1" w:themeTint="F2"/>
        </w:rPr>
        <w:t>of</w:t>
      </w:r>
      <w:r w:rsidRPr="004A4C6A">
        <w:rPr>
          <w:rFonts w:cs="Times New Roman"/>
          <w:color w:val="0D0D0D" w:themeColor="text1" w:themeTint="F2"/>
        </w:rPr>
        <w:t xml:space="preserve"> the regional</w:t>
      </w:r>
      <w:r w:rsidR="009B418B" w:rsidRPr="004A4C6A">
        <w:rPr>
          <w:rFonts w:cs="Times New Roman"/>
          <w:color w:val="0D0D0D" w:themeColor="text1" w:themeTint="F2"/>
        </w:rPr>
        <w:t xml:space="preserve"> system of recognition</w:t>
      </w:r>
      <w:r w:rsidRPr="004A4C6A">
        <w:rPr>
          <w:rFonts w:cs="Times New Roman"/>
          <w:color w:val="0D0D0D" w:themeColor="text1" w:themeTint="F2"/>
        </w:rPr>
        <w:t xml:space="preserve"> of professional qual</w:t>
      </w:r>
      <w:r w:rsidR="000C4751" w:rsidRPr="004A4C6A">
        <w:rPr>
          <w:rFonts w:cs="Times New Roman"/>
          <w:color w:val="0D0D0D" w:themeColor="text1" w:themeTint="F2"/>
        </w:rPr>
        <w:t>ifications</w:t>
      </w:r>
      <w:r w:rsidR="009B418B" w:rsidRPr="004A4C6A">
        <w:rPr>
          <w:rFonts w:cs="Times New Roman"/>
          <w:color w:val="0D0D0D" w:themeColor="text1" w:themeTint="F2"/>
        </w:rPr>
        <w:t xml:space="preserve"> </w:t>
      </w:r>
      <w:r w:rsidR="00E81474" w:rsidRPr="004A4C6A">
        <w:rPr>
          <w:rFonts w:cs="Times New Roman"/>
          <w:color w:val="0D0D0D" w:themeColor="text1" w:themeTint="F2"/>
        </w:rPr>
        <w:t xml:space="preserve">to new </w:t>
      </w:r>
      <w:proofErr w:type="gramStart"/>
      <w:r w:rsidR="00E81474" w:rsidRPr="004A4C6A">
        <w:rPr>
          <w:rFonts w:cs="Times New Roman"/>
          <w:color w:val="0D0D0D" w:themeColor="text1" w:themeTint="F2"/>
        </w:rPr>
        <w:t>sectors</w:t>
      </w:r>
      <w:r w:rsidR="000C4751" w:rsidRPr="004A4C6A">
        <w:rPr>
          <w:rFonts w:cs="Times New Roman"/>
          <w:color w:val="0D0D0D" w:themeColor="text1" w:themeTint="F2"/>
        </w:rPr>
        <w:t>;</w:t>
      </w:r>
      <w:proofErr w:type="gramEnd"/>
    </w:p>
    <w:p w14:paraId="7747ACBD" w14:textId="28BF39A7" w:rsidR="00966149" w:rsidRPr="009E41E9" w:rsidRDefault="00966149" w:rsidP="004A4C6A">
      <w:pPr>
        <w:pStyle w:val="ListParagraph"/>
        <w:numPr>
          <w:ilvl w:val="0"/>
          <w:numId w:val="117"/>
        </w:numPr>
        <w:rPr>
          <w:rFonts w:cs="Times New Roman"/>
          <w:color w:val="0D0D0D" w:themeColor="text1" w:themeTint="F2"/>
          <w:lang w:val="en-GB"/>
        </w:rPr>
      </w:pPr>
      <w:r w:rsidRPr="6AC30067">
        <w:rPr>
          <w:rFonts w:cs="Times New Roman"/>
          <w:color w:val="0D0D0D" w:themeColor="text1" w:themeTint="F2"/>
          <w:lang w:val="en-GB"/>
        </w:rPr>
        <w:t xml:space="preserve">Technical assistance to enable recognition of professional qualifications based on the </w:t>
      </w:r>
      <w:r w:rsidR="00F104A4" w:rsidRPr="6AC30067">
        <w:rPr>
          <w:rFonts w:cs="Times New Roman"/>
          <w:color w:val="0D0D0D" w:themeColor="text1" w:themeTint="F2"/>
          <w:lang w:val="en-GB"/>
        </w:rPr>
        <w:t>experience</w:t>
      </w:r>
      <w:r w:rsidR="00DF558F" w:rsidRPr="6AC30067">
        <w:rPr>
          <w:rFonts w:cs="Times New Roman"/>
          <w:color w:val="0D0D0D" w:themeColor="text1" w:themeTint="F2"/>
          <w:lang w:val="en-GB"/>
        </w:rPr>
        <w:t xml:space="preserve">, </w:t>
      </w:r>
      <w:r w:rsidR="00F104A4" w:rsidRPr="6AC30067">
        <w:rPr>
          <w:rFonts w:cs="Times New Roman"/>
          <w:color w:val="0D0D0D" w:themeColor="text1" w:themeTint="F2"/>
          <w:lang w:val="en-GB"/>
        </w:rPr>
        <w:t>setting up of a d</w:t>
      </w:r>
      <w:r w:rsidRPr="6AC30067">
        <w:rPr>
          <w:rFonts w:cs="Times New Roman"/>
          <w:color w:val="0D0D0D" w:themeColor="text1" w:themeTint="F2"/>
          <w:lang w:val="en-GB"/>
        </w:rPr>
        <w:t>atabase of regulated professions</w:t>
      </w:r>
      <w:r w:rsidR="003737DD" w:rsidRPr="6AC30067">
        <w:rPr>
          <w:rFonts w:cs="Times New Roman"/>
          <w:color w:val="0D0D0D" w:themeColor="text1" w:themeTint="F2"/>
          <w:lang w:val="en-GB"/>
        </w:rPr>
        <w:t>, introduction of</w:t>
      </w:r>
      <w:r w:rsidRPr="6AC30067">
        <w:rPr>
          <w:rFonts w:cs="Times New Roman"/>
          <w:color w:val="0D0D0D" w:themeColor="text1" w:themeTint="F2"/>
          <w:lang w:val="en-GB"/>
        </w:rPr>
        <w:t xml:space="preserve"> professional </w:t>
      </w:r>
      <w:proofErr w:type="gramStart"/>
      <w:r w:rsidRPr="6AC30067">
        <w:rPr>
          <w:rFonts w:cs="Times New Roman"/>
          <w:color w:val="0D0D0D" w:themeColor="text1" w:themeTint="F2"/>
          <w:lang w:val="en-GB"/>
        </w:rPr>
        <w:t>card</w:t>
      </w:r>
      <w:r w:rsidR="003737DD" w:rsidRPr="6AC30067">
        <w:rPr>
          <w:rFonts w:cs="Times New Roman"/>
          <w:color w:val="0D0D0D" w:themeColor="text1" w:themeTint="F2"/>
          <w:lang w:val="en-GB"/>
        </w:rPr>
        <w:t>s;</w:t>
      </w:r>
      <w:proofErr w:type="gramEnd"/>
    </w:p>
    <w:p w14:paraId="50EBD0AD" w14:textId="459D1434" w:rsidR="00303AB4" w:rsidRDefault="00303AB4" w:rsidP="00303AB4">
      <w:pPr>
        <w:rPr>
          <w:rFonts w:cs="Times New Roman"/>
          <w:color w:val="0D0D0D" w:themeColor="text1" w:themeTint="F2"/>
        </w:rPr>
      </w:pPr>
    </w:p>
    <w:p w14:paraId="60A78EBD" w14:textId="178EABCD" w:rsidR="00303AB4" w:rsidRDefault="00303AB4" w:rsidP="00303AB4">
      <w:pPr>
        <w:rPr>
          <w:rFonts w:cs="Times New Roman"/>
          <w:color w:val="0D0D0D" w:themeColor="text1" w:themeTint="F2"/>
        </w:rPr>
      </w:pPr>
      <w:r>
        <w:rPr>
          <w:rFonts w:cs="Times New Roman"/>
          <w:color w:val="0D0D0D" w:themeColor="text1" w:themeTint="F2"/>
        </w:rPr>
        <w:t>Activities related to Output 2.3</w:t>
      </w:r>
    </w:p>
    <w:p w14:paraId="793F8654" w14:textId="77777777" w:rsidR="00FF1269" w:rsidRPr="004A4C6A" w:rsidRDefault="00FF1269" w:rsidP="00303AB4">
      <w:pPr>
        <w:rPr>
          <w:rFonts w:cs="Times New Roman"/>
          <w:color w:val="0D0D0D" w:themeColor="text1" w:themeTint="F2"/>
        </w:rPr>
      </w:pPr>
    </w:p>
    <w:p w14:paraId="17D64E50" w14:textId="18AEDA3D" w:rsidR="00B50881" w:rsidRPr="004A4C6A" w:rsidRDefault="00365AD8"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 xml:space="preserve">Facilitating discussions </w:t>
      </w:r>
      <w:r w:rsidR="005B469B" w:rsidRPr="004A4C6A">
        <w:rPr>
          <w:rFonts w:cs="Times New Roman"/>
          <w:color w:val="0D0D0D" w:themeColor="text1" w:themeTint="F2"/>
        </w:rPr>
        <w:t xml:space="preserve">in the framework of free movement of capital </w:t>
      </w:r>
    </w:p>
    <w:p w14:paraId="4C597C9E" w14:textId="06F72750" w:rsidR="009E41E9" w:rsidRPr="004A4C6A" w:rsidRDefault="006A7F09" w:rsidP="004A4C6A">
      <w:pPr>
        <w:pStyle w:val="ListParagraph"/>
        <w:numPr>
          <w:ilvl w:val="0"/>
          <w:numId w:val="117"/>
        </w:numPr>
        <w:rPr>
          <w:rFonts w:cs="Times New Roman"/>
          <w:color w:val="0D0D0D" w:themeColor="text1" w:themeTint="F2"/>
        </w:rPr>
      </w:pPr>
      <w:r w:rsidRPr="6AC30067">
        <w:rPr>
          <w:rFonts w:cs="Times New Roman"/>
          <w:color w:val="0D0D0D" w:themeColor="text1" w:themeTint="F2"/>
          <w:lang w:val="en-GB"/>
        </w:rPr>
        <w:t xml:space="preserve">Technical assistance </w:t>
      </w:r>
      <w:r w:rsidR="00B13823" w:rsidRPr="6AC30067">
        <w:rPr>
          <w:rFonts w:cs="Times New Roman"/>
          <w:color w:val="0D0D0D" w:themeColor="text1" w:themeTint="F2"/>
          <w:lang w:val="en-GB"/>
        </w:rPr>
        <w:t xml:space="preserve">to </w:t>
      </w:r>
      <w:r w:rsidRPr="6AC30067">
        <w:rPr>
          <w:rFonts w:cs="Times New Roman"/>
          <w:color w:val="0D0D0D" w:themeColor="text1" w:themeTint="F2"/>
          <w:lang w:val="en-GB"/>
        </w:rPr>
        <w:t>achiev</w:t>
      </w:r>
      <w:r w:rsidR="00B13823" w:rsidRPr="6AC30067">
        <w:rPr>
          <w:rFonts w:cs="Times New Roman"/>
          <w:color w:val="0D0D0D" w:themeColor="text1" w:themeTint="F2"/>
          <w:lang w:val="en-GB"/>
        </w:rPr>
        <w:t>e</w:t>
      </w:r>
      <w:r w:rsidRPr="6AC30067">
        <w:rPr>
          <w:rFonts w:cs="Times New Roman"/>
          <w:color w:val="0D0D0D" w:themeColor="text1" w:themeTint="F2"/>
          <w:lang w:val="en-GB"/>
        </w:rPr>
        <w:t xml:space="preserve"> harmonization of licensing for non-bank payment service providers in the </w:t>
      </w:r>
      <w:proofErr w:type="gramStart"/>
      <w:r w:rsidRPr="6AC30067">
        <w:rPr>
          <w:rFonts w:cs="Times New Roman"/>
          <w:color w:val="0D0D0D" w:themeColor="text1" w:themeTint="F2"/>
          <w:lang w:val="en-GB"/>
        </w:rPr>
        <w:t>WB6</w:t>
      </w:r>
      <w:proofErr w:type="gramEnd"/>
    </w:p>
    <w:p w14:paraId="46CBF38D" w14:textId="52ABD0AC" w:rsidR="00083BC4" w:rsidRPr="00722AF0" w:rsidRDefault="00722AF0" w:rsidP="004A4C6A">
      <w:pPr>
        <w:pStyle w:val="ListParagraph"/>
        <w:numPr>
          <w:ilvl w:val="0"/>
          <w:numId w:val="117"/>
        </w:numPr>
        <w:rPr>
          <w:lang w:val="en-GB"/>
        </w:rPr>
      </w:pPr>
      <w:r w:rsidRPr="004A4C6A">
        <w:rPr>
          <w:rFonts w:cs="Times New Roman"/>
          <w:color w:val="0D0D0D" w:themeColor="text1" w:themeTint="F2"/>
          <w:lang w:val="en-GB"/>
        </w:rPr>
        <w:t xml:space="preserve">Technical assistance </w:t>
      </w:r>
      <w:r w:rsidRPr="6AC30067">
        <w:rPr>
          <w:rFonts w:cs="Times New Roman"/>
          <w:color w:val="0D0D0D" w:themeColor="text1" w:themeTint="F2"/>
          <w:lang w:val="en-GB"/>
        </w:rPr>
        <w:t>to enable cross-border fast payments interoperability for WB6</w:t>
      </w:r>
      <w:r w:rsidR="00C07BF9" w:rsidRPr="6AC30067">
        <w:rPr>
          <w:rFonts w:cs="Times New Roman"/>
          <w:color w:val="0D0D0D" w:themeColor="text1" w:themeTint="F2"/>
          <w:lang w:val="en-GB"/>
        </w:rPr>
        <w:t xml:space="preserve"> e.g. </w:t>
      </w:r>
      <w:proofErr w:type="spellStart"/>
      <w:r w:rsidR="00C07BF9" w:rsidRPr="6AC30067">
        <w:rPr>
          <w:rFonts w:cs="Times New Roman"/>
          <w:color w:val="0D0D0D" w:themeColor="text1" w:themeTint="F2"/>
          <w:lang w:val="en-GB"/>
        </w:rPr>
        <w:t>qr</w:t>
      </w:r>
      <w:proofErr w:type="spellEnd"/>
      <w:r w:rsidR="00C07BF9" w:rsidRPr="6AC30067">
        <w:rPr>
          <w:rFonts w:cs="Times New Roman"/>
          <w:color w:val="0D0D0D" w:themeColor="text1" w:themeTint="F2"/>
          <w:lang w:val="en-GB"/>
        </w:rPr>
        <w:t xml:space="preserve"> codes</w:t>
      </w:r>
      <w:r w:rsidRPr="6AC30067">
        <w:rPr>
          <w:rFonts w:cs="Times New Roman"/>
          <w:color w:val="0D0D0D" w:themeColor="text1" w:themeTint="F2"/>
          <w:lang w:val="en-GB"/>
        </w:rPr>
        <w:t>.</w:t>
      </w:r>
    </w:p>
    <w:p w14:paraId="7FFAC15A" w14:textId="77777777" w:rsidR="00FE63B2" w:rsidRDefault="00FE63B2" w:rsidP="00C60BF9">
      <w:pPr>
        <w:rPr>
          <w:lang w:val="en-GB"/>
        </w:rPr>
      </w:pPr>
    </w:p>
    <w:p w14:paraId="0BF3E6BA" w14:textId="0D89B1BB" w:rsidR="006008C9" w:rsidRDefault="006008C9" w:rsidP="00C60BF9">
      <w:pPr>
        <w:rPr>
          <w:lang w:val="en-GB"/>
        </w:rPr>
      </w:pPr>
      <w:r>
        <w:rPr>
          <w:lang w:val="en-GB"/>
        </w:rPr>
        <w:t>Activities related to Output 2.4</w:t>
      </w:r>
    </w:p>
    <w:p w14:paraId="0C7CCDC6" w14:textId="77777777" w:rsidR="006008C9" w:rsidRDefault="006008C9" w:rsidP="00C60BF9">
      <w:pPr>
        <w:rPr>
          <w:lang w:val="en-GB"/>
        </w:rPr>
      </w:pPr>
    </w:p>
    <w:p w14:paraId="0B4AAEBB" w14:textId="6501263B" w:rsidR="005F0B8F" w:rsidRPr="004A4C6A" w:rsidRDefault="004A5BD7" w:rsidP="004A4C6A">
      <w:pPr>
        <w:pStyle w:val="ListParagraph"/>
        <w:numPr>
          <w:ilvl w:val="0"/>
          <w:numId w:val="117"/>
        </w:numPr>
        <w:rPr>
          <w:rFonts w:cs="Times New Roman"/>
          <w:color w:val="0D0D0D" w:themeColor="text1" w:themeTint="F2"/>
          <w:lang w:val="en-GB"/>
        </w:rPr>
      </w:pPr>
      <w:r w:rsidRPr="004A4C6A">
        <w:rPr>
          <w:rFonts w:cs="Times New Roman"/>
          <w:color w:val="0D0D0D" w:themeColor="text1" w:themeTint="F2"/>
          <w:lang w:val="en-GB"/>
        </w:rPr>
        <w:t>Technical assistance to</w:t>
      </w:r>
      <w:r w:rsidR="005F0B8F" w:rsidRPr="004A4C6A">
        <w:rPr>
          <w:rFonts w:cs="Times New Roman"/>
          <w:color w:val="0D0D0D" w:themeColor="text1" w:themeTint="F2"/>
          <w:lang w:val="en-GB"/>
        </w:rPr>
        <w:t xml:space="preserve"> expand digital services, fairness and transparency o</w:t>
      </w:r>
      <w:r w:rsidR="003C691E" w:rsidRPr="004A4C6A">
        <w:rPr>
          <w:rFonts w:cs="Times New Roman"/>
          <w:color w:val="0D0D0D" w:themeColor="text1" w:themeTint="F2"/>
          <w:lang w:val="en-GB"/>
        </w:rPr>
        <w:t>f</w:t>
      </w:r>
      <w:r w:rsidR="005F0B8F" w:rsidRPr="004A4C6A">
        <w:rPr>
          <w:rFonts w:cs="Times New Roman"/>
          <w:color w:val="0D0D0D" w:themeColor="text1" w:themeTint="F2"/>
          <w:lang w:val="en-GB"/>
        </w:rPr>
        <w:t xml:space="preserve"> online platforms, online content portability</w:t>
      </w:r>
      <w:r w:rsidR="00633E8B" w:rsidRPr="004A4C6A">
        <w:rPr>
          <w:rFonts w:cs="Times New Roman"/>
          <w:color w:val="0D0D0D" w:themeColor="text1" w:themeTint="F2"/>
          <w:lang w:val="en-GB"/>
        </w:rPr>
        <w:t>, regulatory dialogue</w:t>
      </w:r>
      <w:r w:rsidR="005F0B8F" w:rsidRPr="004A4C6A">
        <w:rPr>
          <w:rFonts w:cs="Times New Roman"/>
          <w:color w:val="0D0D0D" w:themeColor="text1" w:themeTint="F2"/>
          <w:lang w:val="en-GB"/>
        </w:rPr>
        <w:t xml:space="preserve"> and improv</w:t>
      </w:r>
      <w:r w:rsidR="003C691E" w:rsidRPr="004A4C6A">
        <w:rPr>
          <w:rFonts w:cs="Times New Roman"/>
          <w:color w:val="0D0D0D" w:themeColor="text1" w:themeTint="F2"/>
          <w:lang w:val="en-GB"/>
        </w:rPr>
        <w:t>ement of</w:t>
      </w:r>
      <w:r w:rsidR="005F0B8F" w:rsidRPr="004A4C6A">
        <w:rPr>
          <w:rFonts w:cs="Times New Roman"/>
          <w:color w:val="0D0D0D" w:themeColor="text1" w:themeTint="F2"/>
          <w:lang w:val="en-GB"/>
        </w:rPr>
        <w:t xml:space="preserve"> parcel delivery</w:t>
      </w:r>
      <w:r w:rsidR="003C691E" w:rsidRPr="004A4C6A">
        <w:rPr>
          <w:rFonts w:cs="Times New Roman"/>
          <w:color w:val="0D0D0D" w:themeColor="text1" w:themeTint="F2"/>
          <w:lang w:val="en-GB"/>
        </w:rPr>
        <w:t xml:space="preserve"> </w:t>
      </w:r>
      <w:proofErr w:type="gramStart"/>
      <w:r w:rsidR="003C691E" w:rsidRPr="004A4C6A">
        <w:rPr>
          <w:rFonts w:cs="Times New Roman"/>
          <w:color w:val="0D0D0D" w:themeColor="text1" w:themeTint="F2"/>
          <w:lang w:val="en-GB"/>
        </w:rPr>
        <w:t>services;</w:t>
      </w:r>
      <w:proofErr w:type="gramEnd"/>
    </w:p>
    <w:p w14:paraId="4B1DEF2F" w14:textId="2C42DADC" w:rsidR="005F0B8F" w:rsidRPr="004A4C6A" w:rsidRDefault="003C691E"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Support to the regional r</w:t>
      </w:r>
      <w:r w:rsidR="005F0B8F" w:rsidRPr="004A4C6A">
        <w:rPr>
          <w:rFonts w:cs="Times New Roman"/>
          <w:color w:val="0D0D0D" w:themeColor="text1" w:themeTint="F2"/>
        </w:rPr>
        <w:t xml:space="preserve">ecognition of electronic signatures and other trust </w:t>
      </w:r>
      <w:proofErr w:type="gramStart"/>
      <w:r w:rsidR="005F0B8F" w:rsidRPr="004A4C6A">
        <w:rPr>
          <w:rFonts w:cs="Times New Roman"/>
          <w:color w:val="0D0D0D" w:themeColor="text1" w:themeTint="F2"/>
        </w:rPr>
        <w:t>services</w:t>
      </w:r>
      <w:r w:rsidRPr="004A4C6A">
        <w:rPr>
          <w:rFonts w:cs="Times New Roman"/>
          <w:color w:val="0D0D0D" w:themeColor="text1" w:themeTint="F2"/>
        </w:rPr>
        <w:t>;</w:t>
      </w:r>
      <w:proofErr w:type="gramEnd"/>
      <w:r w:rsidR="005F0B8F" w:rsidRPr="004A4C6A">
        <w:rPr>
          <w:rFonts w:cs="Times New Roman"/>
          <w:color w:val="0D0D0D" w:themeColor="text1" w:themeTint="F2"/>
        </w:rPr>
        <w:t xml:space="preserve"> </w:t>
      </w:r>
    </w:p>
    <w:p w14:paraId="656EB3B4" w14:textId="619AB67C" w:rsidR="00024506" w:rsidRPr="004A4C6A" w:rsidRDefault="00024506" w:rsidP="004A4C6A">
      <w:pPr>
        <w:pStyle w:val="ListParagraph"/>
        <w:numPr>
          <w:ilvl w:val="0"/>
          <w:numId w:val="117"/>
        </w:numPr>
        <w:rPr>
          <w:rFonts w:cs="Times New Roman"/>
          <w:color w:val="0D0D0D" w:themeColor="text1" w:themeTint="F2"/>
          <w:lang w:val="en-GB"/>
        </w:rPr>
      </w:pPr>
      <w:r w:rsidRPr="004A4C6A">
        <w:rPr>
          <w:rFonts w:cs="Times New Roman"/>
          <w:color w:val="0D0D0D" w:themeColor="text1" w:themeTint="F2"/>
          <w:lang w:val="en-GB"/>
        </w:rPr>
        <w:t>S</w:t>
      </w:r>
      <w:r w:rsidR="00FE0469" w:rsidRPr="004A4C6A">
        <w:rPr>
          <w:rFonts w:cs="Times New Roman"/>
          <w:color w:val="0D0D0D" w:themeColor="text1" w:themeTint="F2"/>
          <w:lang w:val="en-GB"/>
        </w:rPr>
        <w:t>upport to</w:t>
      </w:r>
      <w:r w:rsidRPr="004A4C6A">
        <w:rPr>
          <w:rFonts w:cs="Times New Roman"/>
          <w:color w:val="0D0D0D" w:themeColor="text1" w:themeTint="F2"/>
          <w:lang w:val="en-GB"/>
        </w:rPr>
        <w:t xml:space="preserve"> regional cooperation on cross-border e-commerce in line with the EU acquis</w:t>
      </w:r>
      <w:r w:rsidR="00FE0469" w:rsidRPr="004A4C6A">
        <w:rPr>
          <w:rFonts w:cs="Times New Roman"/>
          <w:color w:val="0D0D0D" w:themeColor="text1" w:themeTint="F2"/>
          <w:lang w:val="en-GB"/>
        </w:rPr>
        <w:t xml:space="preserve">, in particular in relation to customs and </w:t>
      </w:r>
      <w:r w:rsidR="002F2CE2" w:rsidRPr="004A4C6A">
        <w:rPr>
          <w:rFonts w:cs="Times New Roman"/>
          <w:color w:val="0D0D0D" w:themeColor="text1" w:themeTint="F2"/>
          <w:lang w:val="en-GB"/>
        </w:rPr>
        <w:t xml:space="preserve">postal services (i.e. </w:t>
      </w:r>
      <w:r w:rsidR="00B24410" w:rsidRPr="004A4C6A">
        <w:rPr>
          <w:rFonts w:cs="Times New Roman"/>
          <w:color w:val="0D0D0D" w:themeColor="text1" w:themeTint="F2"/>
          <w:lang w:val="en-GB"/>
        </w:rPr>
        <w:t>electronic advance data sharing</w:t>
      </w:r>
      <w:proofErr w:type="gramStart"/>
      <w:r w:rsidR="00B24410" w:rsidRPr="004A4C6A">
        <w:rPr>
          <w:rFonts w:cs="Times New Roman"/>
          <w:color w:val="0D0D0D" w:themeColor="text1" w:themeTint="F2"/>
          <w:lang w:val="en-GB"/>
        </w:rPr>
        <w:t>);</w:t>
      </w:r>
      <w:proofErr w:type="gramEnd"/>
    </w:p>
    <w:p w14:paraId="658BC05A" w14:textId="5CBBCA37" w:rsidR="006008C9" w:rsidRPr="004A4C6A" w:rsidRDefault="008C56E3" w:rsidP="004A4C6A">
      <w:pPr>
        <w:pStyle w:val="ListParagraph"/>
        <w:numPr>
          <w:ilvl w:val="0"/>
          <w:numId w:val="117"/>
        </w:numPr>
        <w:rPr>
          <w:rFonts w:cs="Times New Roman"/>
          <w:color w:val="0D0D0D" w:themeColor="text1" w:themeTint="F2"/>
        </w:rPr>
      </w:pPr>
      <w:r w:rsidRPr="004A4C6A">
        <w:rPr>
          <w:rFonts w:cs="Times New Roman"/>
          <w:color w:val="0D0D0D" w:themeColor="text1" w:themeTint="F2"/>
        </w:rPr>
        <w:t xml:space="preserve">Facilitation of the public-private dialogue on e-commerce and the access to European business networks for both e-commerce associations and </w:t>
      </w:r>
      <w:proofErr w:type="gramStart"/>
      <w:r w:rsidRPr="004A4C6A">
        <w:rPr>
          <w:rFonts w:cs="Times New Roman"/>
          <w:color w:val="0D0D0D" w:themeColor="text1" w:themeTint="F2"/>
        </w:rPr>
        <w:t>businesses;</w:t>
      </w:r>
      <w:proofErr w:type="gramEnd"/>
    </w:p>
    <w:p w14:paraId="73E7B38E" w14:textId="77777777" w:rsidR="008C56E3" w:rsidRPr="004A4C6A" w:rsidRDefault="008C56E3" w:rsidP="004A4C6A">
      <w:pPr>
        <w:pStyle w:val="ListParagraph"/>
        <w:rPr>
          <w:lang w:val="en-GB"/>
        </w:rPr>
      </w:pPr>
    </w:p>
    <w:p w14:paraId="194B4549" w14:textId="2471418F" w:rsidR="00C60BF9" w:rsidRPr="003C0CD7" w:rsidRDefault="00C60BF9" w:rsidP="00C60BF9">
      <w:pPr>
        <w:rPr>
          <w:rFonts w:cs="Times New Roman"/>
          <w:color w:val="0D0D0D" w:themeColor="text1" w:themeTint="F2"/>
        </w:rPr>
      </w:pPr>
      <w:r w:rsidRPr="003C0CD7">
        <w:t xml:space="preserve">Activities related to Output </w:t>
      </w:r>
      <w:r w:rsidR="00434929">
        <w:t>3.1</w:t>
      </w:r>
    </w:p>
    <w:p w14:paraId="77ADCBEC" w14:textId="77777777" w:rsidR="00083BC4" w:rsidRDefault="00083BC4" w:rsidP="00C60BF9">
      <w:pPr>
        <w:rPr>
          <w:rFonts w:cs="Times New Roman"/>
          <w:color w:val="0D0D0D" w:themeColor="text1" w:themeTint="F2"/>
          <w:highlight w:val="yellow"/>
        </w:rPr>
      </w:pPr>
    </w:p>
    <w:p w14:paraId="547926A1" w14:textId="7D45C2B1" w:rsidR="00761C47" w:rsidRDefault="00EF08E1" w:rsidP="00A96608">
      <w:pPr>
        <w:numPr>
          <w:ilvl w:val="0"/>
          <w:numId w:val="120"/>
        </w:numPr>
        <w:rPr>
          <w:rFonts w:cs="Times New Roman"/>
          <w:color w:val="0D0D0D" w:themeColor="text1" w:themeTint="F2"/>
          <w:lang w:val="en-GB"/>
        </w:rPr>
      </w:pPr>
      <w:r w:rsidRPr="00A96608">
        <w:rPr>
          <w:rFonts w:cs="Times New Roman"/>
          <w:color w:val="0D0D0D" w:themeColor="text1" w:themeTint="F2"/>
          <w:lang w:val="en-GB"/>
        </w:rPr>
        <w:t xml:space="preserve">Support to reduce waiting times and </w:t>
      </w:r>
      <w:r w:rsidR="0067105A">
        <w:rPr>
          <w:rFonts w:cs="Times New Roman"/>
          <w:color w:val="0D0D0D" w:themeColor="text1" w:themeTint="F2"/>
          <w:lang w:val="en-GB"/>
        </w:rPr>
        <w:t>to improve</w:t>
      </w:r>
      <w:r w:rsidR="002943C8">
        <w:rPr>
          <w:rFonts w:cs="Times New Roman"/>
          <w:color w:val="0D0D0D" w:themeColor="text1" w:themeTint="F2"/>
          <w:lang w:val="en-GB"/>
        </w:rPr>
        <w:t xml:space="preserve"> customs controls</w:t>
      </w:r>
      <w:r w:rsidRPr="00A96608">
        <w:rPr>
          <w:rFonts w:cs="Times New Roman"/>
          <w:color w:val="0D0D0D" w:themeColor="text1" w:themeTint="F2"/>
          <w:lang w:val="en-GB"/>
        </w:rPr>
        <w:t xml:space="preserve"> </w:t>
      </w:r>
      <w:r w:rsidR="0067105A">
        <w:rPr>
          <w:rFonts w:cs="Times New Roman"/>
          <w:color w:val="0D0D0D" w:themeColor="text1" w:themeTint="F2"/>
          <w:lang w:val="en-GB"/>
        </w:rPr>
        <w:t>and</w:t>
      </w:r>
      <w:r w:rsidRPr="00A96608">
        <w:rPr>
          <w:rFonts w:cs="Times New Roman"/>
          <w:color w:val="0D0D0D" w:themeColor="text1" w:themeTint="F2"/>
          <w:lang w:val="en-GB"/>
        </w:rPr>
        <w:t xml:space="preserve"> cooperation among all agencies involved in the clearance of </w:t>
      </w:r>
      <w:proofErr w:type="gramStart"/>
      <w:r w:rsidRPr="00A96608">
        <w:rPr>
          <w:rFonts w:cs="Times New Roman"/>
          <w:color w:val="0D0D0D" w:themeColor="text1" w:themeTint="F2"/>
          <w:lang w:val="en-GB"/>
        </w:rPr>
        <w:t>goods</w:t>
      </w:r>
      <w:r w:rsidR="00761C47">
        <w:rPr>
          <w:rFonts w:cs="Times New Roman"/>
          <w:color w:val="0D0D0D" w:themeColor="text1" w:themeTint="F2"/>
          <w:lang w:val="en-GB"/>
        </w:rPr>
        <w:t>;</w:t>
      </w:r>
      <w:proofErr w:type="gramEnd"/>
    </w:p>
    <w:p w14:paraId="5DAAFCA3" w14:textId="0D66A3A7" w:rsidR="00EF08E1" w:rsidRPr="00A96608" w:rsidRDefault="00761C47" w:rsidP="00A96608">
      <w:pPr>
        <w:numPr>
          <w:ilvl w:val="0"/>
          <w:numId w:val="120"/>
        </w:numPr>
        <w:rPr>
          <w:rFonts w:cs="Times New Roman"/>
          <w:color w:val="0D0D0D" w:themeColor="text1" w:themeTint="F2"/>
          <w:lang w:val="en-GB"/>
        </w:rPr>
      </w:pPr>
      <w:r>
        <w:rPr>
          <w:rFonts w:cs="Times New Roman"/>
          <w:color w:val="0D0D0D" w:themeColor="text1" w:themeTint="F2"/>
          <w:lang w:val="en-GB"/>
        </w:rPr>
        <w:t>Technical assistance</w:t>
      </w:r>
      <w:r w:rsidR="00EF08E1" w:rsidRPr="00A96608">
        <w:rPr>
          <w:rFonts w:cs="Times New Roman"/>
          <w:color w:val="0D0D0D" w:themeColor="text1" w:themeTint="F2"/>
          <w:lang w:val="en-GB"/>
        </w:rPr>
        <w:t xml:space="preserve"> to extend the benefits of risk management throughout the entire clearance procedure</w:t>
      </w:r>
      <w:r w:rsidR="001E169D">
        <w:rPr>
          <w:rFonts w:cs="Times New Roman"/>
          <w:color w:val="0D0D0D" w:themeColor="text1" w:themeTint="F2"/>
          <w:lang w:val="en-GB"/>
        </w:rPr>
        <w:t xml:space="preserve">, </w:t>
      </w:r>
      <w:r w:rsidR="002B1E4A">
        <w:rPr>
          <w:rFonts w:cs="Times New Roman"/>
          <w:color w:val="0D0D0D" w:themeColor="text1" w:themeTint="F2"/>
          <w:lang w:val="en-GB"/>
        </w:rPr>
        <w:t>starting with</w:t>
      </w:r>
      <w:r w:rsidR="001E169D">
        <w:rPr>
          <w:rFonts w:cs="Times New Roman"/>
          <w:color w:val="0D0D0D" w:themeColor="text1" w:themeTint="F2"/>
          <w:lang w:val="en-GB"/>
        </w:rPr>
        <w:t xml:space="preserve"> joint pilot </w:t>
      </w:r>
      <w:proofErr w:type="gramStart"/>
      <w:r w:rsidR="001E169D">
        <w:rPr>
          <w:rFonts w:cs="Times New Roman"/>
          <w:color w:val="0D0D0D" w:themeColor="text1" w:themeTint="F2"/>
          <w:lang w:val="en-GB"/>
        </w:rPr>
        <w:t>actions</w:t>
      </w:r>
      <w:r w:rsidR="002B1E4A">
        <w:rPr>
          <w:rFonts w:cs="Times New Roman"/>
          <w:color w:val="0D0D0D" w:themeColor="text1" w:themeTint="F2"/>
          <w:lang w:val="en-GB"/>
        </w:rPr>
        <w:t>;</w:t>
      </w:r>
      <w:proofErr w:type="gramEnd"/>
    </w:p>
    <w:p w14:paraId="09EF00D1" w14:textId="02921F21" w:rsidR="00434929" w:rsidRPr="004A4C6A" w:rsidRDefault="00434929" w:rsidP="00434929">
      <w:pPr>
        <w:rPr>
          <w:rFonts w:cs="Times New Roman"/>
          <w:color w:val="0D0D0D" w:themeColor="text1" w:themeTint="F2"/>
          <w:lang w:val="en-GB"/>
        </w:rPr>
      </w:pPr>
    </w:p>
    <w:p w14:paraId="079CEEE9" w14:textId="34251B93" w:rsidR="00434929" w:rsidRDefault="00434929" w:rsidP="00434929">
      <w:pPr>
        <w:rPr>
          <w:rFonts w:cs="Times New Roman"/>
          <w:color w:val="0D0D0D" w:themeColor="text1" w:themeTint="F2"/>
        </w:rPr>
      </w:pPr>
      <w:r w:rsidRPr="004A4C6A">
        <w:rPr>
          <w:rFonts w:cs="Times New Roman"/>
          <w:color w:val="0D0D0D" w:themeColor="text1" w:themeTint="F2"/>
        </w:rPr>
        <w:t>Activities related to Output 3.2</w:t>
      </w:r>
    </w:p>
    <w:p w14:paraId="4031336F" w14:textId="77777777" w:rsidR="00694FF6" w:rsidRPr="004A4C6A" w:rsidRDefault="00694FF6" w:rsidP="00434929">
      <w:pPr>
        <w:rPr>
          <w:rFonts w:cs="Times New Roman"/>
          <w:color w:val="0D0D0D" w:themeColor="text1" w:themeTint="F2"/>
        </w:rPr>
      </w:pPr>
    </w:p>
    <w:p w14:paraId="15D632DB" w14:textId="53C719DC" w:rsidR="000E5357" w:rsidRPr="000E5357" w:rsidRDefault="00704C0C" w:rsidP="000E5357">
      <w:pPr>
        <w:numPr>
          <w:ilvl w:val="0"/>
          <w:numId w:val="120"/>
        </w:numPr>
        <w:rPr>
          <w:rFonts w:cs="Times New Roman"/>
          <w:bCs/>
          <w:iCs/>
          <w:color w:val="0D0D0D" w:themeColor="text1" w:themeTint="F2"/>
          <w:lang w:val="en-GB"/>
        </w:rPr>
      </w:pPr>
      <w:r>
        <w:rPr>
          <w:rFonts w:cs="Times New Roman"/>
          <w:color w:val="0D0D0D" w:themeColor="text1" w:themeTint="F2"/>
          <w:lang w:val="en-GB"/>
        </w:rPr>
        <w:t xml:space="preserve">Support to </w:t>
      </w:r>
      <w:r w:rsidR="000E5357">
        <w:rPr>
          <w:rFonts w:cs="Times New Roman"/>
          <w:color w:val="0D0D0D" w:themeColor="text1" w:themeTint="F2"/>
          <w:lang w:val="en-GB"/>
        </w:rPr>
        <w:t>the e</w:t>
      </w:r>
      <w:r w:rsidR="000E5357" w:rsidRPr="000E5357">
        <w:rPr>
          <w:rFonts w:cs="Times New Roman"/>
          <w:color w:val="0D0D0D" w:themeColor="text1" w:themeTint="F2"/>
          <w:lang w:val="en-GB"/>
        </w:rPr>
        <w:t xml:space="preserve">lectronic exchange of </w:t>
      </w:r>
      <w:r w:rsidR="007172E8">
        <w:rPr>
          <w:rFonts w:cs="Times New Roman"/>
          <w:color w:val="0D0D0D" w:themeColor="text1" w:themeTint="F2"/>
          <w:lang w:val="en-GB"/>
        </w:rPr>
        <w:t xml:space="preserve">trade-related </w:t>
      </w:r>
      <w:r w:rsidR="000E5357" w:rsidRPr="000E5357">
        <w:rPr>
          <w:rFonts w:cs="Times New Roman"/>
          <w:color w:val="0D0D0D" w:themeColor="text1" w:themeTint="F2"/>
          <w:lang w:val="en-GB"/>
        </w:rPr>
        <w:t xml:space="preserve">data and documents among all agencies involved in clearance of goods, including </w:t>
      </w:r>
      <w:r w:rsidR="00B06FB1">
        <w:rPr>
          <w:rFonts w:cs="Times New Roman"/>
          <w:color w:val="0D0D0D" w:themeColor="text1" w:themeTint="F2"/>
          <w:lang w:val="en-GB"/>
        </w:rPr>
        <w:t>the</w:t>
      </w:r>
      <w:r w:rsidR="000E5357" w:rsidRPr="000E5357">
        <w:rPr>
          <w:rFonts w:cs="Times New Roman"/>
          <w:color w:val="0D0D0D" w:themeColor="text1" w:themeTint="F2"/>
          <w:lang w:val="en-GB"/>
        </w:rPr>
        <w:t xml:space="preserve"> </w:t>
      </w:r>
      <w:r w:rsidR="007C5E18">
        <w:rPr>
          <w:rFonts w:cs="Times New Roman"/>
          <w:color w:val="0D0D0D" w:themeColor="text1" w:themeTint="F2"/>
          <w:lang w:val="en-GB"/>
        </w:rPr>
        <w:t>roll-out</w:t>
      </w:r>
      <w:r w:rsidR="000E5357" w:rsidRPr="000E5357">
        <w:rPr>
          <w:rFonts w:cs="Times New Roman"/>
          <w:color w:val="0D0D0D" w:themeColor="text1" w:themeTint="F2"/>
          <w:lang w:val="en-GB"/>
        </w:rPr>
        <w:t xml:space="preserve"> of e-certificates and </w:t>
      </w:r>
      <w:r w:rsidR="00E05471">
        <w:rPr>
          <w:rFonts w:cs="Times New Roman"/>
          <w:color w:val="0D0D0D" w:themeColor="text1" w:themeTint="F2"/>
          <w:lang w:val="en-GB"/>
        </w:rPr>
        <w:t xml:space="preserve">transition to </w:t>
      </w:r>
      <w:r w:rsidR="000E5357" w:rsidRPr="000E5357">
        <w:rPr>
          <w:rFonts w:cs="Times New Roman"/>
          <w:color w:val="0D0D0D" w:themeColor="text1" w:themeTint="F2"/>
          <w:lang w:val="en-GB"/>
        </w:rPr>
        <w:t xml:space="preserve">paperless </w:t>
      </w:r>
      <w:proofErr w:type="gramStart"/>
      <w:r w:rsidR="000E5357" w:rsidRPr="000E5357">
        <w:rPr>
          <w:rFonts w:cs="Times New Roman"/>
          <w:color w:val="0D0D0D" w:themeColor="text1" w:themeTint="F2"/>
          <w:lang w:val="en-GB"/>
        </w:rPr>
        <w:t>trade</w:t>
      </w:r>
      <w:r w:rsidR="00E05471">
        <w:rPr>
          <w:rFonts w:cs="Times New Roman"/>
          <w:color w:val="0D0D0D" w:themeColor="text1" w:themeTint="F2"/>
          <w:lang w:val="en-GB"/>
        </w:rPr>
        <w:t>;</w:t>
      </w:r>
      <w:proofErr w:type="gramEnd"/>
      <w:r w:rsidR="000E5357" w:rsidRPr="000E5357">
        <w:rPr>
          <w:rFonts w:cs="Times New Roman"/>
          <w:bCs/>
          <w:iCs/>
          <w:color w:val="0D0D0D" w:themeColor="text1" w:themeTint="F2"/>
          <w:lang w:val="en-GB"/>
        </w:rPr>
        <w:t>  </w:t>
      </w:r>
    </w:p>
    <w:p w14:paraId="4E529197" w14:textId="7FB922C2" w:rsidR="00200F1C" w:rsidRDefault="00200F1C" w:rsidP="00200F1C">
      <w:pPr>
        <w:numPr>
          <w:ilvl w:val="0"/>
          <w:numId w:val="120"/>
        </w:numPr>
        <w:rPr>
          <w:rFonts w:cs="Times New Roman"/>
          <w:color w:val="0D0D0D" w:themeColor="text1" w:themeTint="F2"/>
          <w:lang w:val="en-GB"/>
        </w:rPr>
      </w:pPr>
      <w:r>
        <w:rPr>
          <w:rFonts w:cs="Times New Roman"/>
          <w:color w:val="0D0D0D" w:themeColor="text1" w:themeTint="F2"/>
          <w:lang w:val="en-GB"/>
        </w:rPr>
        <w:t>Technical assistance to enable p</w:t>
      </w:r>
      <w:r w:rsidRPr="00EF08E1">
        <w:rPr>
          <w:rFonts w:cs="Times New Roman"/>
          <w:color w:val="0D0D0D" w:themeColor="text1" w:themeTint="F2"/>
          <w:lang w:val="en-GB"/>
        </w:rPr>
        <w:t>re-arrival checks enabled by electronic exchange of all relevant documents</w:t>
      </w:r>
      <w:r w:rsidR="003272E5">
        <w:rPr>
          <w:rFonts w:cs="Times New Roman"/>
          <w:color w:val="0D0D0D" w:themeColor="text1" w:themeTint="F2"/>
          <w:lang w:val="en-GB"/>
        </w:rPr>
        <w:t xml:space="preserve"> within CEFTA as well as with neighbouring EU Member States (i.e. pilot activities</w:t>
      </w:r>
      <w:r w:rsidR="00614FCB">
        <w:rPr>
          <w:rFonts w:cs="Times New Roman"/>
          <w:color w:val="0D0D0D" w:themeColor="text1" w:themeTint="F2"/>
          <w:lang w:val="en-GB"/>
        </w:rPr>
        <w:t xml:space="preserve"> with </w:t>
      </w:r>
      <w:r w:rsidR="00C1140C">
        <w:rPr>
          <w:rFonts w:cs="Times New Roman"/>
          <w:color w:val="0D0D0D" w:themeColor="text1" w:themeTint="F2"/>
          <w:lang w:val="en-GB"/>
        </w:rPr>
        <w:t xml:space="preserve">trading partner’s </w:t>
      </w:r>
      <w:r w:rsidR="00614FCB">
        <w:rPr>
          <w:rFonts w:cs="Times New Roman"/>
          <w:color w:val="0D0D0D" w:themeColor="text1" w:themeTint="F2"/>
          <w:lang w:val="en-GB"/>
        </w:rPr>
        <w:t>custom</w:t>
      </w:r>
      <w:r w:rsidR="00C1140C">
        <w:rPr>
          <w:rFonts w:cs="Times New Roman"/>
          <w:color w:val="0D0D0D" w:themeColor="text1" w:themeTint="F2"/>
          <w:lang w:val="en-GB"/>
        </w:rPr>
        <w:t xml:space="preserve"> systems</w:t>
      </w:r>
      <w:proofErr w:type="gramStart"/>
      <w:r w:rsidR="00C1140C">
        <w:rPr>
          <w:rFonts w:cs="Times New Roman"/>
          <w:color w:val="0D0D0D" w:themeColor="text1" w:themeTint="F2"/>
          <w:lang w:val="en-GB"/>
        </w:rPr>
        <w:t>);</w:t>
      </w:r>
      <w:proofErr w:type="gramEnd"/>
      <w:r w:rsidR="00614FCB">
        <w:rPr>
          <w:rFonts w:cs="Times New Roman"/>
          <w:color w:val="0D0D0D" w:themeColor="text1" w:themeTint="F2"/>
          <w:lang w:val="en-GB"/>
        </w:rPr>
        <w:t xml:space="preserve"> </w:t>
      </w:r>
    </w:p>
    <w:p w14:paraId="3103EE39" w14:textId="00BCDD5D" w:rsidR="00F00690" w:rsidRDefault="008905B4" w:rsidP="008905B4">
      <w:pPr>
        <w:numPr>
          <w:ilvl w:val="0"/>
          <w:numId w:val="120"/>
        </w:numPr>
        <w:rPr>
          <w:rFonts w:cs="Times New Roman"/>
          <w:bCs/>
          <w:iCs/>
          <w:color w:val="0D0D0D" w:themeColor="text1" w:themeTint="F2"/>
          <w:lang w:val="en-GB"/>
        </w:rPr>
      </w:pPr>
      <w:r>
        <w:rPr>
          <w:rFonts w:cs="Times New Roman"/>
          <w:color w:val="0D0D0D" w:themeColor="text1" w:themeTint="F2"/>
          <w:lang w:val="en-GB"/>
        </w:rPr>
        <w:t>Support to</w:t>
      </w:r>
      <w:r w:rsidR="00CD155A">
        <w:rPr>
          <w:rFonts w:cs="Times New Roman"/>
          <w:color w:val="0D0D0D" w:themeColor="text1" w:themeTint="F2"/>
          <w:lang w:val="en-GB"/>
        </w:rPr>
        <w:t xml:space="preserve"> the </w:t>
      </w:r>
      <w:r w:rsidRPr="008905B4">
        <w:rPr>
          <w:rFonts w:cs="Times New Roman"/>
          <w:bCs/>
          <w:iCs/>
          <w:color w:val="0D0D0D" w:themeColor="text1" w:themeTint="F2"/>
          <w:lang w:val="en-GB"/>
        </w:rPr>
        <w:t xml:space="preserve">CEFTA System for Electronic Exchange of Data (SEED) </w:t>
      </w:r>
      <w:r w:rsidR="00EA1438">
        <w:rPr>
          <w:rFonts w:cs="Times New Roman"/>
          <w:bCs/>
          <w:iCs/>
          <w:color w:val="0D0D0D" w:themeColor="text1" w:themeTint="F2"/>
          <w:lang w:val="en-GB"/>
        </w:rPr>
        <w:t>for its functioning and compatibility with</w:t>
      </w:r>
      <w:r w:rsidRPr="008905B4">
        <w:rPr>
          <w:rFonts w:cs="Times New Roman"/>
          <w:bCs/>
          <w:iCs/>
          <w:color w:val="0D0D0D" w:themeColor="text1" w:themeTint="F2"/>
          <w:lang w:val="en-GB"/>
        </w:rPr>
        <w:t xml:space="preserve"> the </w:t>
      </w:r>
      <w:r w:rsidR="00EA1438">
        <w:rPr>
          <w:rFonts w:cs="Times New Roman"/>
          <w:bCs/>
          <w:iCs/>
          <w:color w:val="0D0D0D" w:themeColor="text1" w:themeTint="F2"/>
          <w:lang w:val="en-GB"/>
        </w:rPr>
        <w:t>EU</w:t>
      </w:r>
      <w:r w:rsidRPr="008905B4">
        <w:rPr>
          <w:rFonts w:cs="Times New Roman"/>
          <w:bCs/>
          <w:iCs/>
          <w:color w:val="0D0D0D" w:themeColor="text1" w:themeTint="F2"/>
          <w:lang w:val="en-GB"/>
        </w:rPr>
        <w:t xml:space="preserve"> Internal Market Information System</w:t>
      </w:r>
      <w:r w:rsidR="00EA1438">
        <w:rPr>
          <w:rFonts w:cs="Times New Roman"/>
          <w:bCs/>
          <w:iCs/>
          <w:color w:val="0D0D0D" w:themeColor="text1" w:themeTint="F2"/>
          <w:lang w:val="en-GB"/>
        </w:rPr>
        <w:t>s</w:t>
      </w:r>
      <w:r w:rsidRPr="008905B4">
        <w:rPr>
          <w:rFonts w:cs="Times New Roman"/>
          <w:bCs/>
          <w:iCs/>
          <w:color w:val="0D0D0D" w:themeColor="text1" w:themeTint="F2"/>
          <w:lang w:val="en-GB"/>
        </w:rPr>
        <w:t xml:space="preserve">, </w:t>
      </w:r>
      <w:r w:rsidR="00F00690">
        <w:rPr>
          <w:rFonts w:cs="Times New Roman"/>
          <w:bCs/>
          <w:iCs/>
          <w:color w:val="0D0D0D" w:themeColor="text1" w:themeTint="F2"/>
          <w:lang w:val="en-GB"/>
        </w:rPr>
        <w:t xml:space="preserve">and development of new </w:t>
      </w:r>
      <w:r w:rsidR="00F00690">
        <w:rPr>
          <w:rFonts w:cs="Times New Roman"/>
          <w:bCs/>
          <w:iCs/>
          <w:color w:val="0D0D0D" w:themeColor="text1" w:themeTint="F2"/>
          <w:lang w:val="en-GB"/>
        </w:rPr>
        <w:lastRenderedPageBreak/>
        <w:t xml:space="preserve">functionalities, i.e. </w:t>
      </w:r>
      <w:r w:rsidR="00526FF2">
        <w:rPr>
          <w:rFonts w:cs="Times New Roman"/>
          <w:bCs/>
          <w:iCs/>
          <w:color w:val="0D0D0D" w:themeColor="text1" w:themeTint="F2"/>
          <w:lang w:val="en-GB"/>
        </w:rPr>
        <w:t>databases</w:t>
      </w:r>
      <w:r w:rsidR="00F00690">
        <w:rPr>
          <w:rFonts w:cs="Times New Roman"/>
          <w:bCs/>
          <w:iCs/>
          <w:color w:val="0D0D0D" w:themeColor="text1" w:themeTint="F2"/>
          <w:lang w:val="en-GB"/>
        </w:rPr>
        <w:t xml:space="preserve"> </w:t>
      </w:r>
      <w:r w:rsidR="00954D97">
        <w:rPr>
          <w:rFonts w:cs="Times New Roman"/>
          <w:bCs/>
          <w:iCs/>
          <w:color w:val="0D0D0D" w:themeColor="text1" w:themeTint="F2"/>
          <w:lang w:val="en-GB"/>
        </w:rPr>
        <w:t xml:space="preserve">AEOs, </w:t>
      </w:r>
      <w:r w:rsidR="00BA665A">
        <w:rPr>
          <w:rFonts w:cs="Times New Roman"/>
          <w:bCs/>
          <w:iCs/>
          <w:color w:val="0D0D0D" w:themeColor="text1" w:themeTint="F2"/>
          <w:lang w:val="en-GB"/>
        </w:rPr>
        <w:t xml:space="preserve">transparency pack and statistical portal, unsafe products, </w:t>
      </w:r>
      <w:r w:rsidR="007F300E">
        <w:rPr>
          <w:rFonts w:cs="Times New Roman"/>
          <w:bCs/>
          <w:iCs/>
          <w:color w:val="0D0D0D" w:themeColor="text1" w:themeTint="F2"/>
          <w:lang w:val="en-GB"/>
        </w:rPr>
        <w:t>notification</w:t>
      </w:r>
      <w:r w:rsidR="00A8727C">
        <w:rPr>
          <w:rFonts w:cs="Times New Roman"/>
          <w:bCs/>
          <w:iCs/>
          <w:color w:val="0D0D0D" w:themeColor="text1" w:themeTint="F2"/>
          <w:lang w:val="en-GB"/>
        </w:rPr>
        <w:t xml:space="preserve"> systems, etc.</w:t>
      </w:r>
      <w:r w:rsidR="00F00690">
        <w:rPr>
          <w:rFonts w:cs="Times New Roman"/>
          <w:bCs/>
          <w:iCs/>
          <w:color w:val="0D0D0D" w:themeColor="text1" w:themeTint="F2"/>
          <w:lang w:val="en-GB"/>
        </w:rPr>
        <w:t xml:space="preserve"> </w:t>
      </w:r>
    </w:p>
    <w:p w14:paraId="3EF54A9C" w14:textId="77777777" w:rsidR="00434929" w:rsidRPr="004A4C6A" w:rsidRDefault="00434929" w:rsidP="00C60BF9">
      <w:pPr>
        <w:rPr>
          <w:rFonts w:cs="Times New Roman"/>
          <w:color w:val="0D0D0D" w:themeColor="text1" w:themeTint="F2"/>
        </w:rPr>
      </w:pPr>
    </w:p>
    <w:p w14:paraId="17ECFA93" w14:textId="75386B32" w:rsidR="00434929" w:rsidRPr="004A4C6A" w:rsidRDefault="00434929" w:rsidP="00C60BF9">
      <w:pPr>
        <w:rPr>
          <w:rFonts w:cs="Times New Roman"/>
          <w:color w:val="0D0D0D" w:themeColor="text1" w:themeTint="F2"/>
        </w:rPr>
      </w:pPr>
      <w:r w:rsidRPr="004A4C6A">
        <w:rPr>
          <w:rFonts w:cs="Times New Roman"/>
          <w:color w:val="0D0D0D" w:themeColor="text1" w:themeTint="F2"/>
        </w:rPr>
        <w:t>Activities related to Output 3.3</w:t>
      </w:r>
    </w:p>
    <w:p w14:paraId="7DD00F58" w14:textId="77777777" w:rsidR="00A22387" w:rsidRPr="004A4C6A" w:rsidRDefault="00A22387" w:rsidP="004A4C6A">
      <w:pPr>
        <w:pStyle w:val="ListParagraph"/>
        <w:rPr>
          <w:rFonts w:cs="Times New Roman"/>
          <w:color w:val="0D0D0D" w:themeColor="text1" w:themeTint="F2"/>
        </w:rPr>
      </w:pPr>
    </w:p>
    <w:p w14:paraId="1C029731" w14:textId="4B10C9BF" w:rsidR="00434929" w:rsidRPr="004A4C6A" w:rsidRDefault="00F5569E" w:rsidP="004A4C6A">
      <w:pPr>
        <w:numPr>
          <w:ilvl w:val="0"/>
          <w:numId w:val="120"/>
        </w:numPr>
        <w:rPr>
          <w:rFonts w:cs="Times New Roman"/>
          <w:color w:val="0D0D0D" w:themeColor="text1" w:themeTint="F2"/>
        </w:rPr>
      </w:pPr>
      <w:r w:rsidRPr="004A4C6A">
        <w:rPr>
          <w:rFonts w:cs="Times New Roman"/>
          <w:color w:val="0D0D0D" w:themeColor="text1" w:themeTint="F2"/>
          <w:lang w:val="en-GB"/>
        </w:rPr>
        <w:t>Contribute to improving the level of creation, administration, protection and enforcement of intellectual property rights (IPR</w:t>
      </w:r>
      <w:r w:rsidR="00523F90" w:rsidRPr="004A4C6A">
        <w:rPr>
          <w:rFonts w:cs="Times New Roman"/>
          <w:color w:val="0D0D0D" w:themeColor="text1" w:themeTint="F2"/>
          <w:lang w:val="en-GB"/>
        </w:rPr>
        <w:t>)</w:t>
      </w:r>
      <w:r w:rsidRPr="004A4C6A">
        <w:rPr>
          <w:rFonts w:cs="Times New Roman"/>
          <w:color w:val="0D0D0D" w:themeColor="text1" w:themeTint="F2"/>
          <w:lang w:val="en-GB"/>
        </w:rPr>
        <w:t xml:space="preserve"> in line with European best practice</w:t>
      </w:r>
      <w:r w:rsidR="003D5324">
        <w:rPr>
          <w:rFonts w:cs="Times New Roman"/>
          <w:color w:val="0D0D0D" w:themeColor="text1" w:themeTint="F2"/>
          <w:lang w:val="en-GB"/>
        </w:rPr>
        <w:t>, in cooperation with the E</w:t>
      </w:r>
      <w:r w:rsidR="00AA66C0">
        <w:rPr>
          <w:rFonts w:cs="Times New Roman"/>
          <w:color w:val="0D0D0D" w:themeColor="text1" w:themeTint="F2"/>
          <w:lang w:val="en-GB"/>
        </w:rPr>
        <w:t xml:space="preserve">uropean </w:t>
      </w:r>
      <w:r w:rsidR="003D5324">
        <w:rPr>
          <w:rFonts w:cs="Times New Roman"/>
          <w:color w:val="0D0D0D" w:themeColor="text1" w:themeTint="F2"/>
          <w:lang w:val="en-GB"/>
        </w:rPr>
        <w:t>U</w:t>
      </w:r>
      <w:r w:rsidR="00AA66C0">
        <w:rPr>
          <w:rFonts w:cs="Times New Roman"/>
          <w:color w:val="0D0D0D" w:themeColor="text1" w:themeTint="F2"/>
          <w:lang w:val="en-GB"/>
        </w:rPr>
        <w:t xml:space="preserve">nion </w:t>
      </w:r>
      <w:r w:rsidR="003D5324">
        <w:rPr>
          <w:rFonts w:cs="Times New Roman"/>
          <w:color w:val="0D0D0D" w:themeColor="text1" w:themeTint="F2"/>
          <w:lang w:val="en-GB"/>
        </w:rPr>
        <w:t>I</w:t>
      </w:r>
      <w:r w:rsidR="00AA66C0">
        <w:rPr>
          <w:rFonts w:cs="Times New Roman"/>
          <w:color w:val="0D0D0D" w:themeColor="text1" w:themeTint="F2"/>
          <w:lang w:val="en-GB"/>
        </w:rPr>
        <w:t xml:space="preserve">ntellectual </w:t>
      </w:r>
      <w:r w:rsidR="003D5324">
        <w:rPr>
          <w:rFonts w:cs="Times New Roman"/>
          <w:color w:val="0D0D0D" w:themeColor="text1" w:themeTint="F2"/>
          <w:lang w:val="en-GB"/>
        </w:rPr>
        <w:t>P</w:t>
      </w:r>
      <w:r w:rsidR="00AA66C0">
        <w:rPr>
          <w:rFonts w:cs="Times New Roman"/>
          <w:color w:val="0D0D0D" w:themeColor="text1" w:themeTint="F2"/>
          <w:lang w:val="en-GB"/>
        </w:rPr>
        <w:t xml:space="preserve">roperty </w:t>
      </w:r>
      <w:r w:rsidR="003D5324">
        <w:rPr>
          <w:rFonts w:cs="Times New Roman"/>
          <w:color w:val="0D0D0D" w:themeColor="text1" w:themeTint="F2"/>
          <w:lang w:val="en-GB"/>
        </w:rPr>
        <w:t>O</w:t>
      </w:r>
      <w:r w:rsidR="00AA66C0">
        <w:rPr>
          <w:rFonts w:cs="Times New Roman"/>
          <w:color w:val="0D0D0D" w:themeColor="text1" w:themeTint="F2"/>
          <w:lang w:val="en-GB"/>
        </w:rPr>
        <w:t>ffice</w:t>
      </w:r>
      <w:r w:rsidR="000D15F5">
        <w:rPr>
          <w:rFonts w:cs="Times New Roman"/>
          <w:color w:val="0D0D0D" w:themeColor="text1" w:themeTint="F2"/>
          <w:lang w:val="en-GB"/>
        </w:rPr>
        <w:t xml:space="preserve"> (EUIPO)</w:t>
      </w:r>
      <w:r w:rsidR="003D5324">
        <w:rPr>
          <w:rFonts w:cs="Times New Roman"/>
          <w:color w:val="0D0D0D" w:themeColor="text1" w:themeTint="F2"/>
          <w:lang w:val="en-GB"/>
        </w:rPr>
        <w:t>,</w:t>
      </w:r>
      <w:r w:rsidRPr="004A4C6A">
        <w:rPr>
          <w:rFonts w:cs="Times New Roman"/>
          <w:color w:val="0D0D0D" w:themeColor="text1" w:themeTint="F2"/>
          <w:lang w:val="en-GB"/>
        </w:rPr>
        <w:t xml:space="preserve"> and in support of the </w:t>
      </w:r>
      <w:r w:rsidR="00523F90" w:rsidRPr="004A4C6A">
        <w:rPr>
          <w:rFonts w:cs="Times New Roman"/>
          <w:color w:val="0D0D0D" w:themeColor="text1" w:themeTint="F2"/>
          <w:lang w:val="en-GB"/>
        </w:rPr>
        <w:t>EU e</w:t>
      </w:r>
      <w:r w:rsidRPr="004A4C6A">
        <w:rPr>
          <w:rFonts w:cs="Times New Roman"/>
          <w:color w:val="0D0D0D" w:themeColor="text1" w:themeTint="F2"/>
          <w:lang w:val="en-GB"/>
        </w:rPr>
        <w:t xml:space="preserve">nlargement </w:t>
      </w:r>
      <w:r w:rsidR="00523F90" w:rsidRPr="004A4C6A">
        <w:rPr>
          <w:rFonts w:cs="Times New Roman"/>
          <w:color w:val="0D0D0D" w:themeColor="text1" w:themeTint="F2"/>
          <w:lang w:val="en-GB"/>
        </w:rPr>
        <w:t>p</w:t>
      </w:r>
      <w:r w:rsidRPr="004A4C6A">
        <w:rPr>
          <w:rFonts w:cs="Times New Roman"/>
          <w:color w:val="0D0D0D" w:themeColor="text1" w:themeTint="F2"/>
          <w:lang w:val="en-GB"/>
        </w:rPr>
        <w:t>olicy and the Growth Plan</w:t>
      </w:r>
      <w:r w:rsidR="00523F90" w:rsidRPr="004A4C6A">
        <w:rPr>
          <w:rFonts w:cs="Times New Roman"/>
          <w:color w:val="0D0D0D" w:themeColor="text1" w:themeTint="F2"/>
          <w:lang w:val="en-GB"/>
        </w:rPr>
        <w:t xml:space="preserve"> for the Western Balkans;</w:t>
      </w:r>
      <w:r w:rsidRPr="004A4C6A">
        <w:rPr>
          <w:rFonts w:cs="Times New Roman"/>
          <w:color w:val="0D0D0D" w:themeColor="text1" w:themeTint="F2"/>
          <w:lang w:val="en-GB"/>
        </w:rPr>
        <w:t xml:space="preserve"> in particular by aligning with the EU </w:t>
      </w:r>
      <w:proofErr w:type="gramStart"/>
      <w:r w:rsidRPr="004A4C6A">
        <w:rPr>
          <w:rFonts w:cs="Times New Roman"/>
          <w:i/>
          <w:iCs/>
          <w:color w:val="0D0D0D" w:themeColor="text1" w:themeTint="F2"/>
          <w:lang w:val="en-GB"/>
        </w:rPr>
        <w:t>acquis</w:t>
      </w:r>
      <w:proofErr w:type="gramEnd"/>
    </w:p>
    <w:p w14:paraId="16B38551" w14:textId="77777777" w:rsidR="0042599B" w:rsidRDefault="0042599B" w:rsidP="0042599B">
      <w:pPr>
        <w:rPr>
          <w:rFonts w:cs="Times New Roman"/>
          <w:color w:val="0D0D0D" w:themeColor="text1" w:themeTint="F2"/>
          <w:highlight w:val="yellow"/>
        </w:rPr>
      </w:pPr>
    </w:p>
    <w:p w14:paraId="2AE3566F" w14:textId="7AA6BC9D" w:rsidR="0042599B" w:rsidRPr="004A4C6A" w:rsidRDefault="0042599B" w:rsidP="0042599B">
      <w:pPr>
        <w:rPr>
          <w:rFonts w:cs="Times New Roman"/>
          <w:color w:val="0D0D0D" w:themeColor="text1" w:themeTint="F2"/>
        </w:rPr>
      </w:pPr>
      <w:r w:rsidRPr="004A4C6A">
        <w:rPr>
          <w:rFonts w:cs="Times New Roman"/>
          <w:color w:val="0D0D0D" w:themeColor="text1" w:themeTint="F2"/>
        </w:rPr>
        <w:t>Activities related to Output 3.4</w:t>
      </w:r>
    </w:p>
    <w:p w14:paraId="5CF51E15" w14:textId="77777777" w:rsidR="0042599B" w:rsidRDefault="0042599B" w:rsidP="0042599B">
      <w:pPr>
        <w:rPr>
          <w:rFonts w:cs="Times New Roman"/>
          <w:color w:val="0D0D0D" w:themeColor="text1" w:themeTint="F2"/>
        </w:rPr>
      </w:pPr>
    </w:p>
    <w:p w14:paraId="6AF1F235" w14:textId="38957AE8" w:rsidR="00A40AB2" w:rsidRDefault="00B121A8" w:rsidP="004A4C6A">
      <w:pPr>
        <w:numPr>
          <w:ilvl w:val="0"/>
          <w:numId w:val="120"/>
        </w:numPr>
        <w:rPr>
          <w:rFonts w:cs="Times New Roman"/>
          <w:color w:val="0D0D0D" w:themeColor="text1" w:themeTint="F2"/>
          <w:lang w:val="en-GB"/>
        </w:rPr>
      </w:pPr>
      <w:r>
        <w:rPr>
          <w:rFonts w:cs="Times New Roman"/>
          <w:color w:val="0D0D0D" w:themeColor="text1" w:themeTint="F2"/>
          <w:lang w:val="en-GB"/>
        </w:rPr>
        <w:t xml:space="preserve">Technical assistance to </w:t>
      </w:r>
      <w:r w:rsidR="007602E7">
        <w:rPr>
          <w:rFonts w:cs="Times New Roman"/>
          <w:color w:val="0D0D0D" w:themeColor="text1" w:themeTint="F2"/>
          <w:lang w:val="en-GB"/>
        </w:rPr>
        <w:t>strengthen</w:t>
      </w:r>
      <w:r>
        <w:rPr>
          <w:rFonts w:cs="Times New Roman"/>
          <w:color w:val="0D0D0D" w:themeColor="text1" w:themeTint="F2"/>
          <w:lang w:val="en-GB"/>
        </w:rPr>
        <w:t xml:space="preserve"> regional</w:t>
      </w:r>
      <w:r w:rsidR="00A40AB2">
        <w:rPr>
          <w:rFonts w:cs="Times New Roman"/>
          <w:color w:val="0D0D0D" w:themeColor="text1" w:themeTint="F2"/>
          <w:lang w:val="en-GB"/>
        </w:rPr>
        <w:t xml:space="preserve"> </w:t>
      </w:r>
      <w:r w:rsidR="00A40AB2" w:rsidRPr="004A4C6A">
        <w:rPr>
          <w:rFonts w:cs="Times New Roman"/>
          <w:color w:val="0D0D0D" w:themeColor="text1" w:themeTint="F2"/>
          <w:lang w:val="en-GB"/>
        </w:rPr>
        <w:t>cooperation</w:t>
      </w:r>
      <w:r w:rsidR="00A40AB2">
        <w:rPr>
          <w:rFonts w:cs="Times New Roman"/>
          <w:color w:val="0D0D0D" w:themeColor="text1" w:themeTint="F2"/>
          <w:lang w:val="en-GB"/>
        </w:rPr>
        <w:t xml:space="preserve"> </w:t>
      </w:r>
      <w:r>
        <w:rPr>
          <w:rFonts w:cs="Times New Roman"/>
          <w:color w:val="0D0D0D" w:themeColor="text1" w:themeTint="F2"/>
          <w:lang w:val="en-GB"/>
        </w:rPr>
        <w:t>among market surveillance authorities</w:t>
      </w:r>
      <w:r w:rsidR="0052077A">
        <w:rPr>
          <w:rFonts w:cs="Times New Roman"/>
          <w:color w:val="0D0D0D" w:themeColor="text1" w:themeTint="F2"/>
          <w:lang w:val="en-GB"/>
        </w:rPr>
        <w:t>,</w:t>
      </w:r>
      <w:r w:rsidR="00A40AB2" w:rsidRPr="004A4C6A">
        <w:rPr>
          <w:rFonts w:cs="Times New Roman"/>
          <w:color w:val="0D0D0D" w:themeColor="text1" w:themeTint="F2"/>
          <w:lang w:val="en-GB"/>
        </w:rPr>
        <w:t xml:space="preserve"> coordination in the field of enforcement of consumer protection</w:t>
      </w:r>
      <w:r w:rsidR="00C73D63">
        <w:rPr>
          <w:rFonts w:cs="Times New Roman"/>
          <w:color w:val="0D0D0D" w:themeColor="text1" w:themeTint="F2"/>
          <w:lang w:val="en-GB"/>
        </w:rPr>
        <w:t xml:space="preserve">, resolution of disputes </w:t>
      </w:r>
      <w:r w:rsidR="003B7569">
        <w:rPr>
          <w:rFonts w:cs="Times New Roman"/>
          <w:color w:val="0D0D0D" w:themeColor="text1" w:themeTint="F2"/>
          <w:lang w:val="en-GB"/>
        </w:rPr>
        <w:t>between customers</w:t>
      </w:r>
      <w:r w:rsidR="0052077A">
        <w:rPr>
          <w:rFonts w:cs="Times New Roman"/>
          <w:color w:val="0D0D0D" w:themeColor="text1" w:themeTint="F2"/>
          <w:lang w:val="en-GB"/>
        </w:rPr>
        <w:t xml:space="preserve"> and </w:t>
      </w:r>
      <w:proofErr w:type="gramStart"/>
      <w:r w:rsidR="003B7569">
        <w:rPr>
          <w:rFonts w:cs="Times New Roman"/>
          <w:color w:val="0D0D0D" w:themeColor="text1" w:themeTint="F2"/>
          <w:lang w:val="en-GB"/>
        </w:rPr>
        <w:t>traders</w:t>
      </w:r>
      <w:r>
        <w:rPr>
          <w:rFonts w:cs="Times New Roman"/>
          <w:color w:val="0D0D0D" w:themeColor="text1" w:themeTint="F2"/>
          <w:lang w:val="en-GB"/>
        </w:rPr>
        <w:t>;</w:t>
      </w:r>
      <w:proofErr w:type="gramEnd"/>
    </w:p>
    <w:p w14:paraId="134B9CDE" w14:textId="3FC400C5" w:rsidR="00025E26" w:rsidRPr="004A4C6A" w:rsidRDefault="00025E26" w:rsidP="004A4C6A">
      <w:pPr>
        <w:numPr>
          <w:ilvl w:val="0"/>
          <w:numId w:val="120"/>
        </w:numPr>
        <w:rPr>
          <w:rFonts w:cs="Times New Roman"/>
          <w:color w:val="0D0D0D" w:themeColor="text1" w:themeTint="F2"/>
          <w:lang w:val="en-GB"/>
        </w:rPr>
      </w:pPr>
      <w:r>
        <w:rPr>
          <w:rFonts w:cs="Times New Roman"/>
          <w:color w:val="0D0D0D" w:themeColor="text1" w:themeTint="F2"/>
          <w:lang w:val="en-GB"/>
        </w:rPr>
        <w:t xml:space="preserve">Support for the creation of </w:t>
      </w:r>
      <w:r w:rsidRPr="00025E26">
        <w:rPr>
          <w:rFonts w:cs="Times New Roman"/>
          <w:color w:val="0D0D0D" w:themeColor="text1" w:themeTint="F2"/>
          <w:lang w:val="en-GB"/>
        </w:rPr>
        <w:t xml:space="preserve">network of Consumer Protection Centres within CEFTA modelled on the European Consumer Centres </w:t>
      </w:r>
      <w:proofErr w:type="gramStart"/>
      <w:r w:rsidRPr="00025E26">
        <w:rPr>
          <w:rFonts w:cs="Times New Roman"/>
          <w:color w:val="0D0D0D" w:themeColor="text1" w:themeTint="F2"/>
          <w:lang w:val="en-GB"/>
        </w:rPr>
        <w:t>Network</w:t>
      </w:r>
      <w:r w:rsidR="00C70E15">
        <w:rPr>
          <w:rFonts w:cs="Times New Roman"/>
          <w:color w:val="0D0D0D" w:themeColor="text1" w:themeTint="F2"/>
          <w:lang w:val="en-GB"/>
        </w:rPr>
        <w:t>;</w:t>
      </w:r>
      <w:proofErr w:type="gramEnd"/>
    </w:p>
    <w:p w14:paraId="43F2AA96" w14:textId="3F397DA7" w:rsidR="00A40AB2" w:rsidRPr="004A4C6A" w:rsidRDefault="00EA00AF" w:rsidP="004A4C6A">
      <w:pPr>
        <w:numPr>
          <w:ilvl w:val="0"/>
          <w:numId w:val="120"/>
        </w:numPr>
        <w:rPr>
          <w:rFonts w:cs="Times New Roman"/>
          <w:color w:val="0D0D0D" w:themeColor="text1" w:themeTint="F2"/>
          <w:lang w:val="en-GB"/>
        </w:rPr>
      </w:pPr>
      <w:r>
        <w:rPr>
          <w:rFonts w:cs="Times New Roman"/>
          <w:color w:val="0D0D0D" w:themeColor="text1" w:themeTint="F2"/>
          <w:lang w:val="en-GB"/>
        </w:rPr>
        <w:t>Technical assistance to h</w:t>
      </w:r>
      <w:r w:rsidR="00A40AB2" w:rsidRPr="004A4C6A">
        <w:rPr>
          <w:rFonts w:cs="Times New Roman"/>
          <w:color w:val="0D0D0D" w:themeColor="text1" w:themeTint="F2"/>
          <w:lang w:val="en-GB"/>
        </w:rPr>
        <w:t>armonised rules for the sale of goods and the supply of digital content and digital service</w:t>
      </w:r>
      <w:r>
        <w:rPr>
          <w:rFonts w:cs="Times New Roman"/>
          <w:color w:val="0D0D0D" w:themeColor="text1" w:themeTint="F2"/>
          <w:lang w:val="en-GB"/>
        </w:rPr>
        <w:t xml:space="preserve"> in line with EU </w:t>
      </w:r>
      <w:proofErr w:type="gramStart"/>
      <w:r w:rsidRPr="004A4C6A">
        <w:rPr>
          <w:rFonts w:cs="Times New Roman"/>
          <w:i/>
          <w:iCs/>
          <w:color w:val="0D0D0D" w:themeColor="text1" w:themeTint="F2"/>
          <w:lang w:val="en-GB"/>
        </w:rPr>
        <w:t>acquis</w:t>
      </w:r>
      <w:r>
        <w:rPr>
          <w:rFonts w:cs="Times New Roman"/>
          <w:color w:val="0D0D0D" w:themeColor="text1" w:themeTint="F2"/>
          <w:lang w:val="en-GB"/>
        </w:rPr>
        <w:t>;</w:t>
      </w:r>
      <w:proofErr w:type="gramEnd"/>
    </w:p>
    <w:p w14:paraId="414B304C" w14:textId="77777777" w:rsidR="00BF4798" w:rsidRPr="004A4C6A" w:rsidRDefault="00BF4798" w:rsidP="00BF4798">
      <w:pPr>
        <w:rPr>
          <w:rFonts w:cs="Times New Roman"/>
          <w:color w:val="0D0D0D" w:themeColor="text1" w:themeTint="F2"/>
        </w:rPr>
      </w:pPr>
    </w:p>
    <w:p w14:paraId="25C0B440" w14:textId="669D565C" w:rsidR="0042599B" w:rsidRDefault="0042599B" w:rsidP="0042599B">
      <w:pPr>
        <w:rPr>
          <w:rFonts w:cs="Times New Roman"/>
          <w:color w:val="0D0D0D" w:themeColor="text1" w:themeTint="F2"/>
        </w:rPr>
      </w:pPr>
      <w:r w:rsidRPr="004A4C6A">
        <w:rPr>
          <w:rFonts w:cs="Times New Roman"/>
          <w:color w:val="0D0D0D" w:themeColor="text1" w:themeTint="F2"/>
        </w:rPr>
        <w:t>Activities related to Output 3.5</w:t>
      </w:r>
    </w:p>
    <w:p w14:paraId="50DCD13D" w14:textId="77777777" w:rsidR="00C7160C" w:rsidRDefault="00C7160C" w:rsidP="0042599B">
      <w:pPr>
        <w:rPr>
          <w:rFonts w:cs="Times New Roman"/>
          <w:color w:val="0D0D0D" w:themeColor="text1" w:themeTint="F2"/>
        </w:rPr>
      </w:pPr>
    </w:p>
    <w:p w14:paraId="5AEA9991" w14:textId="13621CBA" w:rsidR="00C7160C" w:rsidRPr="004A4C6A" w:rsidRDefault="00567725" w:rsidP="004A4C6A">
      <w:pPr>
        <w:pStyle w:val="ListParagraph"/>
        <w:numPr>
          <w:ilvl w:val="0"/>
          <w:numId w:val="120"/>
        </w:numPr>
        <w:rPr>
          <w:rFonts w:cs="Times New Roman"/>
          <w:color w:val="0D0D0D" w:themeColor="text1" w:themeTint="F2"/>
        </w:rPr>
      </w:pPr>
      <w:r>
        <w:rPr>
          <w:rFonts w:cs="Times New Roman"/>
          <w:color w:val="0D0D0D" w:themeColor="text1" w:themeTint="F2"/>
        </w:rPr>
        <w:t>Technical assistance to h</w:t>
      </w:r>
      <w:r w:rsidRPr="00567725">
        <w:rPr>
          <w:rFonts w:cs="Times New Roman"/>
          <w:color w:val="0D0D0D" w:themeColor="text1" w:themeTint="F2"/>
        </w:rPr>
        <w:t>armonis</w:t>
      </w:r>
      <w:r>
        <w:rPr>
          <w:rFonts w:cs="Times New Roman"/>
          <w:color w:val="0D0D0D" w:themeColor="text1" w:themeTint="F2"/>
        </w:rPr>
        <w:t xml:space="preserve">e </w:t>
      </w:r>
      <w:r w:rsidRPr="00567725">
        <w:rPr>
          <w:rFonts w:cs="Times New Roman"/>
          <w:color w:val="0D0D0D" w:themeColor="text1" w:themeTint="F2"/>
        </w:rPr>
        <w:t>statistical data produc</w:t>
      </w:r>
      <w:r>
        <w:rPr>
          <w:rFonts w:cs="Times New Roman"/>
          <w:color w:val="0D0D0D" w:themeColor="text1" w:themeTint="F2"/>
        </w:rPr>
        <w:t>tion</w:t>
      </w:r>
      <w:r w:rsidRPr="00567725">
        <w:rPr>
          <w:rFonts w:cs="Times New Roman"/>
          <w:color w:val="0D0D0D" w:themeColor="text1" w:themeTint="F2"/>
        </w:rPr>
        <w:t xml:space="preserve"> and their timely exchange within the CEFTA Statistical Portal with increased </w:t>
      </w:r>
      <w:proofErr w:type="gramStart"/>
      <w:r w:rsidRPr="00567725">
        <w:rPr>
          <w:rFonts w:cs="Times New Roman"/>
          <w:color w:val="0D0D0D" w:themeColor="text1" w:themeTint="F2"/>
        </w:rPr>
        <w:t>scope</w:t>
      </w:r>
      <w:r w:rsidR="00D34C8F">
        <w:rPr>
          <w:rFonts w:cs="Times New Roman"/>
          <w:color w:val="0D0D0D" w:themeColor="text1" w:themeTint="F2"/>
        </w:rPr>
        <w:t>;</w:t>
      </w:r>
      <w:proofErr w:type="gramEnd"/>
    </w:p>
    <w:p w14:paraId="19D1D1BD" w14:textId="77777777" w:rsidR="0042599B" w:rsidRPr="004A4C6A" w:rsidRDefault="0042599B" w:rsidP="0042599B">
      <w:pPr>
        <w:rPr>
          <w:rFonts w:cs="Times New Roman"/>
          <w:color w:val="0D0D0D" w:themeColor="text1" w:themeTint="F2"/>
        </w:rPr>
      </w:pPr>
    </w:p>
    <w:p w14:paraId="66A7D0E4" w14:textId="068C260C" w:rsidR="0042599B" w:rsidRPr="004A4C6A" w:rsidRDefault="0042599B" w:rsidP="0042599B">
      <w:pPr>
        <w:rPr>
          <w:rFonts w:cs="Times New Roman"/>
          <w:color w:val="0D0D0D" w:themeColor="text1" w:themeTint="F2"/>
        </w:rPr>
      </w:pPr>
      <w:r w:rsidRPr="004A4C6A">
        <w:rPr>
          <w:rFonts w:cs="Times New Roman"/>
          <w:color w:val="0D0D0D" w:themeColor="text1" w:themeTint="F2"/>
        </w:rPr>
        <w:t>Activities related to Output 3.6</w:t>
      </w:r>
    </w:p>
    <w:p w14:paraId="1F6D7FFC" w14:textId="77777777" w:rsidR="0042599B" w:rsidRPr="004A4C6A" w:rsidRDefault="0042599B" w:rsidP="0042599B">
      <w:pPr>
        <w:rPr>
          <w:rFonts w:cs="Times New Roman"/>
          <w:color w:val="0D0D0D" w:themeColor="text1" w:themeTint="F2"/>
        </w:rPr>
      </w:pPr>
    </w:p>
    <w:p w14:paraId="1F548B53" w14:textId="2ECC5BB6" w:rsidR="004879E6" w:rsidRPr="004A4C6A" w:rsidRDefault="004E7455" w:rsidP="004A4C6A">
      <w:pPr>
        <w:pStyle w:val="ListParagraph"/>
        <w:numPr>
          <w:ilvl w:val="0"/>
          <w:numId w:val="120"/>
        </w:numPr>
        <w:rPr>
          <w:rFonts w:cs="Times New Roman"/>
          <w:color w:val="0D0D0D" w:themeColor="text1" w:themeTint="F2"/>
        </w:rPr>
      </w:pPr>
      <w:r>
        <w:rPr>
          <w:rFonts w:cs="Times New Roman"/>
          <w:color w:val="0D0D0D" w:themeColor="text1" w:themeTint="F2"/>
          <w:lang w:val="en-GB"/>
        </w:rPr>
        <w:t xml:space="preserve">Support to regional </w:t>
      </w:r>
      <w:r w:rsidRPr="004E7455">
        <w:rPr>
          <w:rFonts w:cs="Times New Roman"/>
          <w:color w:val="0D0D0D" w:themeColor="text1" w:themeTint="F2"/>
          <w:lang w:val="en-GB"/>
        </w:rPr>
        <w:t xml:space="preserve">dialogue </w:t>
      </w:r>
      <w:r>
        <w:rPr>
          <w:rFonts w:cs="Times New Roman"/>
          <w:color w:val="0D0D0D" w:themeColor="text1" w:themeTint="F2"/>
          <w:lang w:val="en-GB"/>
        </w:rPr>
        <w:t>and coordination</w:t>
      </w:r>
      <w:r w:rsidRPr="004E7455">
        <w:rPr>
          <w:rFonts w:cs="Times New Roman"/>
          <w:color w:val="0D0D0D" w:themeColor="text1" w:themeTint="F2"/>
          <w:lang w:val="en-GB"/>
        </w:rPr>
        <w:t xml:space="preserve"> on trade</w:t>
      </w:r>
      <w:r w:rsidR="006A0C56">
        <w:rPr>
          <w:rFonts w:cs="Times New Roman"/>
          <w:color w:val="0D0D0D" w:themeColor="text1" w:themeTint="F2"/>
          <w:lang w:val="en-GB"/>
        </w:rPr>
        <w:t>-</w:t>
      </w:r>
      <w:r w:rsidRPr="004E7455">
        <w:rPr>
          <w:rFonts w:cs="Times New Roman"/>
          <w:color w:val="0D0D0D" w:themeColor="text1" w:themeTint="F2"/>
          <w:lang w:val="en-GB"/>
        </w:rPr>
        <w:t xml:space="preserve">related environmental issues with a focus on perspectives for carbon pricing </w:t>
      </w:r>
      <w:r w:rsidR="00B710C2">
        <w:rPr>
          <w:rFonts w:cs="Times New Roman"/>
          <w:color w:val="0D0D0D" w:themeColor="text1" w:themeTint="F2"/>
          <w:lang w:val="en-GB"/>
        </w:rPr>
        <w:t>through the</w:t>
      </w:r>
      <w:r w:rsidRPr="004E7455">
        <w:rPr>
          <w:rFonts w:cs="Times New Roman"/>
          <w:color w:val="0D0D0D" w:themeColor="text1" w:themeTint="F2"/>
          <w:lang w:val="en-GB"/>
        </w:rPr>
        <w:t xml:space="preserve"> EU E</w:t>
      </w:r>
      <w:r w:rsidR="00B710C2">
        <w:rPr>
          <w:rFonts w:cs="Times New Roman"/>
          <w:color w:val="0D0D0D" w:themeColor="text1" w:themeTint="F2"/>
          <w:lang w:val="en-GB"/>
        </w:rPr>
        <w:t xml:space="preserve">mission </w:t>
      </w:r>
      <w:r w:rsidRPr="004E7455">
        <w:rPr>
          <w:rFonts w:cs="Times New Roman"/>
          <w:color w:val="0D0D0D" w:themeColor="text1" w:themeTint="F2"/>
          <w:lang w:val="en-GB"/>
        </w:rPr>
        <w:t>T</w:t>
      </w:r>
      <w:r w:rsidR="00B710C2">
        <w:rPr>
          <w:rFonts w:cs="Times New Roman"/>
          <w:color w:val="0D0D0D" w:themeColor="text1" w:themeTint="F2"/>
          <w:lang w:val="en-GB"/>
        </w:rPr>
        <w:t xml:space="preserve">rading </w:t>
      </w:r>
      <w:r w:rsidRPr="004E7455">
        <w:rPr>
          <w:rFonts w:cs="Times New Roman"/>
          <w:color w:val="0D0D0D" w:themeColor="text1" w:themeTint="F2"/>
          <w:lang w:val="en-GB"/>
        </w:rPr>
        <w:t>S</w:t>
      </w:r>
      <w:r w:rsidR="00B710C2">
        <w:rPr>
          <w:rFonts w:cs="Times New Roman"/>
          <w:color w:val="0D0D0D" w:themeColor="text1" w:themeTint="F2"/>
          <w:lang w:val="en-GB"/>
        </w:rPr>
        <w:t>ystem</w:t>
      </w:r>
      <w:r w:rsidRPr="004E7455">
        <w:rPr>
          <w:rFonts w:cs="Times New Roman"/>
          <w:color w:val="0D0D0D" w:themeColor="text1" w:themeTint="F2"/>
          <w:lang w:val="en-GB"/>
        </w:rPr>
        <w:t xml:space="preserve"> and Carbon Border Adjustment </w:t>
      </w:r>
      <w:proofErr w:type="gramStart"/>
      <w:r w:rsidRPr="004E7455">
        <w:rPr>
          <w:rFonts w:cs="Times New Roman"/>
          <w:color w:val="0D0D0D" w:themeColor="text1" w:themeTint="F2"/>
          <w:lang w:val="en-GB"/>
        </w:rPr>
        <w:t>Mechanism</w:t>
      </w:r>
      <w:r w:rsidR="00B710C2">
        <w:rPr>
          <w:rFonts w:cs="Times New Roman"/>
          <w:color w:val="0D0D0D" w:themeColor="text1" w:themeTint="F2"/>
          <w:lang w:val="en-GB"/>
        </w:rPr>
        <w:t>;</w:t>
      </w:r>
      <w:proofErr w:type="gramEnd"/>
    </w:p>
    <w:p w14:paraId="32D4BA01" w14:textId="77777777" w:rsidR="004879E6" w:rsidRPr="004A4C6A" w:rsidRDefault="004879E6" w:rsidP="0042599B">
      <w:pPr>
        <w:rPr>
          <w:rFonts w:cs="Times New Roman"/>
          <w:color w:val="0D0D0D" w:themeColor="text1" w:themeTint="F2"/>
        </w:rPr>
      </w:pPr>
    </w:p>
    <w:p w14:paraId="1CA1D3B0" w14:textId="30D288BD" w:rsidR="009227E3" w:rsidRPr="00B708B6" w:rsidRDefault="009227E3" w:rsidP="009227E3">
      <w:pPr>
        <w:rPr>
          <w:rFonts w:cs="Times New Roman"/>
          <w:color w:val="0D0D0D" w:themeColor="text1" w:themeTint="F2"/>
        </w:rPr>
      </w:pPr>
      <w:r w:rsidRPr="00B708B6">
        <w:rPr>
          <w:rFonts w:cs="Times New Roman"/>
          <w:color w:val="0D0D0D" w:themeColor="text1" w:themeTint="F2"/>
        </w:rPr>
        <w:t>Activities related to Output 3.</w:t>
      </w:r>
      <w:r>
        <w:rPr>
          <w:rFonts w:cs="Times New Roman"/>
          <w:color w:val="0D0D0D" w:themeColor="text1" w:themeTint="F2"/>
        </w:rPr>
        <w:t>7</w:t>
      </w:r>
    </w:p>
    <w:p w14:paraId="0742CF19" w14:textId="77777777" w:rsidR="009227E3" w:rsidRPr="00B708B6" w:rsidRDefault="009227E3" w:rsidP="009227E3">
      <w:pPr>
        <w:rPr>
          <w:rFonts w:cs="Times New Roman"/>
          <w:color w:val="0D0D0D" w:themeColor="text1" w:themeTint="F2"/>
        </w:rPr>
      </w:pPr>
    </w:p>
    <w:p w14:paraId="15ED2759" w14:textId="3C659149" w:rsidR="00AF6EEC" w:rsidRPr="00AF6EEC" w:rsidRDefault="00122763" w:rsidP="00AF6EEC">
      <w:pPr>
        <w:pStyle w:val="ListParagraph"/>
        <w:numPr>
          <w:ilvl w:val="0"/>
          <w:numId w:val="120"/>
        </w:numPr>
        <w:rPr>
          <w:rFonts w:cs="Times New Roman"/>
          <w:color w:val="0D0D0D" w:themeColor="text1" w:themeTint="F2"/>
        </w:rPr>
      </w:pPr>
      <w:r>
        <w:rPr>
          <w:rFonts w:cs="Times New Roman"/>
          <w:color w:val="0D0D0D" w:themeColor="text1" w:themeTint="F2"/>
        </w:rPr>
        <w:t xml:space="preserve">Technical assistance to support the implementation of </w:t>
      </w:r>
      <w:r w:rsidR="00AF6EEC" w:rsidRPr="00AF6EEC">
        <w:rPr>
          <w:rFonts w:cs="Times New Roman"/>
          <w:color w:val="0D0D0D" w:themeColor="text1" w:themeTint="F2"/>
        </w:rPr>
        <w:t xml:space="preserve">Additional Protocol 7 on Dispute Settlement </w:t>
      </w:r>
      <w:r w:rsidR="00E62F5E">
        <w:rPr>
          <w:rFonts w:cs="Times New Roman"/>
          <w:color w:val="0D0D0D" w:themeColor="text1" w:themeTint="F2"/>
        </w:rPr>
        <w:t>in view of the</w:t>
      </w:r>
      <w:r w:rsidR="00AF6EEC" w:rsidRPr="00AF6EEC">
        <w:rPr>
          <w:rFonts w:cs="Times New Roman"/>
          <w:color w:val="0D0D0D" w:themeColor="text1" w:themeTint="F2"/>
        </w:rPr>
        <w:t xml:space="preserve"> efficient resol</w:t>
      </w:r>
      <w:r w:rsidR="00E62F5E">
        <w:rPr>
          <w:rFonts w:cs="Times New Roman"/>
          <w:color w:val="0D0D0D" w:themeColor="text1" w:themeTint="F2"/>
        </w:rPr>
        <w:t>ution of</w:t>
      </w:r>
      <w:r w:rsidR="00AF6EEC" w:rsidRPr="00AF6EEC">
        <w:rPr>
          <w:rFonts w:cs="Times New Roman"/>
          <w:color w:val="0D0D0D" w:themeColor="text1" w:themeTint="F2"/>
        </w:rPr>
        <w:t xml:space="preserve"> trade issues and preven</w:t>
      </w:r>
      <w:r w:rsidR="005D439C">
        <w:rPr>
          <w:rFonts w:cs="Times New Roman"/>
          <w:color w:val="0D0D0D" w:themeColor="text1" w:themeTint="F2"/>
        </w:rPr>
        <w:t>tion</w:t>
      </w:r>
      <w:r w:rsidR="00AF6EEC" w:rsidRPr="00AF6EEC">
        <w:rPr>
          <w:rFonts w:cs="Times New Roman"/>
          <w:color w:val="0D0D0D" w:themeColor="text1" w:themeTint="F2"/>
        </w:rPr>
        <w:t xml:space="preserve"> of non-compliant </w:t>
      </w:r>
      <w:proofErr w:type="gramStart"/>
      <w:r w:rsidR="00AF6EEC" w:rsidRPr="00AF6EEC">
        <w:rPr>
          <w:rFonts w:cs="Times New Roman"/>
          <w:color w:val="0D0D0D" w:themeColor="text1" w:themeTint="F2"/>
        </w:rPr>
        <w:t>measures</w:t>
      </w:r>
      <w:r w:rsidR="00C4584E">
        <w:rPr>
          <w:rFonts w:cs="Times New Roman"/>
          <w:color w:val="0D0D0D" w:themeColor="text1" w:themeTint="F2"/>
        </w:rPr>
        <w:t>;</w:t>
      </w:r>
      <w:proofErr w:type="gramEnd"/>
    </w:p>
    <w:p w14:paraId="1A17B16D" w14:textId="4D555AA6" w:rsidR="00DE24E5" w:rsidRPr="004A4C6A" w:rsidRDefault="00D32089" w:rsidP="004A4C6A">
      <w:pPr>
        <w:pStyle w:val="ListParagraph"/>
        <w:numPr>
          <w:ilvl w:val="0"/>
          <w:numId w:val="120"/>
        </w:numPr>
        <w:rPr>
          <w:rFonts w:cs="Times New Roman"/>
          <w:color w:val="0D0D0D" w:themeColor="text1" w:themeTint="F2"/>
        </w:rPr>
      </w:pPr>
      <w:r>
        <w:rPr>
          <w:rFonts w:cs="Times New Roman"/>
          <w:color w:val="0D0D0D" w:themeColor="text1" w:themeTint="F2"/>
        </w:rPr>
        <w:t xml:space="preserve">Support to the establishment and maintenance of </w:t>
      </w:r>
      <w:r w:rsidR="00AF6EEC" w:rsidRPr="00AF6EEC">
        <w:rPr>
          <w:rFonts w:cs="Times New Roman"/>
          <w:color w:val="0D0D0D" w:themeColor="text1" w:themeTint="F2"/>
        </w:rPr>
        <w:t xml:space="preserve">CEFTA Electronic Communication System for Dispute Settlement, enabling streamlined communication and documentation exchange between disputing parties, reducing administrative burdens and enhancing </w:t>
      </w:r>
      <w:proofErr w:type="gramStart"/>
      <w:r w:rsidR="00AF6EEC" w:rsidRPr="00AF6EEC">
        <w:rPr>
          <w:rFonts w:cs="Times New Roman"/>
          <w:color w:val="0D0D0D" w:themeColor="text1" w:themeTint="F2"/>
        </w:rPr>
        <w:t>efficiency</w:t>
      </w:r>
      <w:r w:rsidR="009B6783">
        <w:rPr>
          <w:rFonts w:cs="Times New Roman"/>
          <w:color w:val="0D0D0D" w:themeColor="text1" w:themeTint="F2"/>
        </w:rPr>
        <w:t>;</w:t>
      </w:r>
      <w:proofErr w:type="gramEnd"/>
    </w:p>
    <w:p w14:paraId="3491C14F" w14:textId="77777777" w:rsidR="00DE24E5" w:rsidRPr="004879E6" w:rsidRDefault="00DE24E5" w:rsidP="009227E3">
      <w:pPr>
        <w:rPr>
          <w:rFonts w:cs="Times New Roman"/>
          <w:color w:val="0D0D0D" w:themeColor="text1" w:themeTint="F2"/>
        </w:rPr>
      </w:pPr>
    </w:p>
    <w:p w14:paraId="290FA27D" w14:textId="4725867B" w:rsidR="009227E3" w:rsidRPr="00B708B6" w:rsidRDefault="009227E3" w:rsidP="009227E3">
      <w:pPr>
        <w:rPr>
          <w:rFonts w:cs="Times New Roman"/>
          <w:color w:val="0D0D0D" w:themeColor="text1" w:themeTint="F2"/>
        </w:rPr>
      </w:pPr>
      <w:r w:rsidRPr="00B708B6">
        <w:rPr>
          <w:rFonts w:cs="Times New Roman"/>
          <w:color w:val="0D0D0D" w:themeColor="text1" w:themeTint="F2"/>
        </w:rPr>
        <w:t>Activities related to Output 3.</w:t>
      </w:r>
      <w:r>
        <w:rPr>
          <w:rFonts w:cs="Times New Roman"/>
          <w:color w:val="0D0D0D" w:themeColor="text1" w:themeTint="F2"/>
        </w:rPr>
        <w:t>8</w:t>
      </w:r>
    </w:p>
    <w:p w14:paraId="63F02F8D" w14:textId="77777777" w:rsidR="00434929" w:rsidRPr="004A4C6A" w:rsidRDefault="00434929" w:rsidP="00C60BF9">
      <w:pPr>
        <w:rPr>
          <w:rFonts w:cs="Times New Roman"/>
          <w:color w:val="0D0D0D" w:themeColor="text1" w:themeTint="F2"/>
        </w:rPr>
      </w:pPr>
    </w:p>
    <w:p w14:paraId="164B500A" w14:textId="4390E7E5" w:rsidR="00DE24E5" w:rsidRPr="004A4C6A" w:rsidRDefault="008E7DB6" w:rsidP="004A4C6A">
      <w:pPr>
        <w:pStyle w:val="ListParagraph"/>
        <w:numPr>
          <w:ilvl w:val="0"/>
          <w:numId w:val="120"/>
        </w:numPr>
        <w:rPr>
          <w:rFonts w:eastAsia="Times New Roman" w:cs="Times New Roman"/>
          <w:szCs w:val="24"/>
        </w:rPr>
      </w:pPr>
      <w:r w:rsidRPr="004A4C6A">
        <w:rPr>
          <w:rFonts w:eastAsia="Times New Roman" w:cs="Times New Roman"/>
          <w:szCs w:val="24"/>
        </w:rPr>
        <w:t xml:space="preserve">Develop a regional </w:t>
      </w:r>
      <w:r w:rsidR="00CC14E3" w:rsidRPr="004A4C6A">
        <w:rPr>
          <w:rFonts w:eastAsia="Times New Roman" w:cs="Times New Roman"/>
          <w:szCs w:val="24"/>
        </w:rPr>
        <w:t xml:space="preserve">approach to </w:t>
      </w:r>
      <w:r w:rsidRPr="004A4C6A">
        <w:rPr>
          <w:rFonts w:eastAsia="Times New Roman" w:cs="Times New Roman"/>
          <w:szCs w:val="24"/>
        </w:rPr>
        <w:t>export</w:t>
      </w:r>
      <w:r w:rsidR="00CC14E3" w:rsidRPr="004A4C6A">
        <w:rPr>
          <w:rFonts w:eastAsia="Times New Roman" w:cs="Times New Roman"/>
          <w:szCs w:val="24"/>
        </w:rPr>
        <w:t xml:space="preserve">, </w:t>
      </w:r>
      <w:r w:rsidR="00782E35" w:rsidRPr="004A4C6A">
        <w:rPr>
          <w:rFonts w:eastAsia="Times New Roman" w:cs="Times New Roman"/>
          <w:szCs w:val="24"/>
        </w:rPr>
        <w:t>to</w:t>
      </w:r>
      <w:r w:rsidR="007A3690" w:rsidRPr="004A4C6A">
        <w:rPr>
          <w:rFonts w:eastAsia="Times New Roman" w:cs="Times New Roman"/>
          <w:szCs w:val="24"/>
        </w:rPr>
        <w:t xml:space="preserve"> enhance </w:t>
      </w:r>
      <w:r w:rsidR="00282A2B">
        <w:rPr>
          <w:rFonts w:eastAsia="Times New Roman" w:cs="Times New Roman"/>
          <w:szCs w:val="24"/>
        </w:rPr>
        <w:t xml:space="preserve">the </w:t>
      </w:r>
      <w:r w:rsidR="007A3690" w:rsidRPr="004A4C6A">
        <w:rPr>
          <w:rFonts w:eastAsia="Times New Roman" w:cs="Times New Roman"/>
          <w:szCs w:val="24"/>
        </w:rPr>
        <w:t>competitiveness of the region for entering the EU single market</w:t>
      </w:r>
      <w:r w:rsidR="009602CF" w:rsidRPr="004A4C6A">
        <w:rPr>
          <w:rFonts w:eastAsia="Times New Roman" w:cs="Times New Roman"/>
          <w:szCs w:val="24"/>
        </w:rPr>
        <w:t>.</w:t>
      </w:r>
      <w:r w:rsidR="007503AD" w:rsidRPr="004A4C6A" w:rsidDel="005725D1">
        <w:rPr>
          <w:rFonts w:eastAsia="Times New Roman" w:cs="Times New Roman"/>
          <w:szCs w:val="24"/>
        </w:rPr>
        <w:t xml:space="preserve"> </w:t>
      </w:r>
    </w:p>
    <w:p w14:paraId="3F779F28" w14:textId="20196E76" w:rsidR="007F370A" w:rsidRPr="004A4C6A" w:rsidRDefault="007F370A" w:rsidP="007F370A">
      <w:pPr>
        <w:pStyle w:val="ListParagraph"/>
        <w:numPr>
          <w:ilvl w:val="0"/>
          <w:numId w:val="120"/>
        </w:numPr>
        <w:rPr>
          <w:rFonts w:eastAsia="Times New Roman" w:cs="Times New Roman"/>
          <w:szCs w:val="24"/>
        </w:rPr>
      </w:pPr>
      <w:r w:rsidRPr="004A4C6A">
        <w:rPr>
          <w:rFonts w:eastAsia="Times New Roman" w:cs="Times New Roman"/>
          <w:szCs w:val="24"/>
        </w:rPr>
        <w:t xml:space="preserve">Set up services supporting integration of SMEs into European and global value </w:t>
      </w:r>
      <w:proofErr w:type="gramStart"/>
      <w:r w:rsidRPr="004A4C6A">
        <w:rPr>
          <w:rFonts w:eastAsia="Times New Roman" w:cs="Times New Roman"/>
          <w:szCs w:val="24"/>
        </w:rPr>
        <w:t>chains</w:t>
      </w:r>
      <w:proofErr w:type="gramEnd"/>
    </w:p>
    <w:p w14:paraId="74B5D350" w14:textId="1D6C1385" w:rsidR="00AB58F7" w:rsidRPr="004A4C6A" w:rsidRDefault="00AB58F7" w:rsidP="007F370A">
      <w:pPr>
        <w:pStyle w:val="ListParagraph"/>
        <w:numPr>
          <w:ilvl w:val="0"/>
          <w:numId w:val="120"/>
        </w:numPr>
        <w:rPr>
          <w:rFonts w:eastAsia="Times New Roman" w:cs="Times New Roman"/>
          <w:szCs w:val="24"/>
        </w:rPr>
      </w:pPr>
      <w:r w:rsidRPr="004A4C6A">
        <w:rPr>
          <w:rFonts w:eastAsia="Times New Roman" w:cs="Times New Roman"/>
          <w:szCs w:val="24"/>
        </w:rPr>
        <w:t xml:space="preserve">Develop relevant information and guidelines </w:t>
      </w:r>
      <w:r w:rsidR="00CF7A9E">
        <w:rPr>
          <w:rFonts w:eastAsia="Times New Roman" w:cs="Times New Roman"/>
          <w:szCs w:val="24"/>
        </w:rPr>
        <w:t xml:space="preserve">services </w:t>
      </w:r>
      <w:r w:rsidRPr="004A4C6A">
        <w:rPr>
          <w:rFonts w:eastAsia="Times New Roman" w:cs="Times New Roman"/>
          <w:szCs w:val="24"/>
        </w:rPr>
        <w:t xml:space="preserve">on WB markets for exporting </w:t>
      </w:r>
      <w:proofErr w:type="gramStart"/>
      <w:r w:rsidRPr="004A4C6A">
        <w:rPr>
          <w:rFonts w:eastAsia="Times New Roman" w:cs="Times New Roman"/>
          <w:szCs w:val="24"/>
        </w:rPr>
        <w:t>companies</w:t>
      </w:r>
      <w:proofErr w:type="gramEnd"/>
    </w:p>
    <w:p w14:paraId="793F5C2C" w14:textId="77777777" w:rsidR="00FE63B2" w:rsidRDefault="00FE63B2" w:rsidP="00C60BF9">
      <w:pPr>
        <w:rPr>
          <w:rFonts w:cs="Times New Roman"/>
          <w:color w:val="0D0D0D" w:themeColor="text1" w:themeTint="F2"/>
        </w:rPr>
      </w:pPr>
    </w:p>
    <w:p w14:paraId="4CD2F634" w14:textId="0471D482" w:rsidR="00435630" w:rsidRDefault="00435630" w:rsidP="00435630">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4.1</w:t>
      </w:r>
    </w:p>
    <w:p w14:paraId="106DD74F" w14:textId="77777777" w:rsidR="000E35DC" w:rsidRDefault="000E35DC" w:rsidP="00435630">
      <w:pPr>
        <w:rPr>
          <w:rFonts w:cs="Times New Roman"/>
          <w:color w:val="0D0D0D" w:themeColor="text1" w:themeTint="F2"/>
        </w:rPr>
      </w:pPr>
    </w:p>
    <w:p w14:paraId="77F01A4E" w14:textId="72F3BB6F" w:rsidR="00435630" w:rsidRDefault="00F409FA">
      <w:pPr>
        <w:pStyle w:val="ListParagraph"/>
        <w:numPr>
          <w:ilvl w:val="0"/>
          <w:numId w:val="120"/>
        </w:numPr>
        <w:rPr>
          <w:rFonts w:cs="Times New Roman"/>
          <w:color w:val="0D0D0D" w:themeColor="text1" w:themeTint="F2"/>
        </w:rPr>
      </w:pPr>
      <w:r>
        <w:rPr>
          <w:rFonts w:cs="Times New Roman"/>
          <w:color w:val="0D0D0D" w:themeColor="text1" w:themeTint="F2"/>
        </w:rPr>
        <w:t xml:space="preserve">Support </w:t>
      </w:r>
      <w:r w:rsidR="00527CAA">
        <w:rPr>
          <w:rFonts w:cs="Times New Roman"/>
          <w:color w:val="0D0D0D" w:themeColor="text1" w:themeTint="F2"/>
        </w:rPr>
        <w:t xml:space="preserve">the implementation </w:t>
      </w:r>
      <w:r w:rsidR="00265918">
        <w:rPr>
          <w:rFonts w:cs="Times New Roman"/>
          <w:color w:val="0D0D0D" w:themeColor="text1" w:themeTint="F2"/>
        </w:rPr>
        <w:t xml:space="preserve">of the </w:t>
      </w:r>
      <w:r w:rsidR="00840E22">
        <w:rPr>
          <w:rFonts w:cs="Times New Roman"/>
          <w:color w:val="0D0D0D" w:themeColor="text1" w:themeTint="F2"/>
        </w:rPr>
        <w:t xml:space="preserve">mobility agreements </w:t>
      </w:r>
      <w:proofErr w:type="gramStart"/>
      <w:r w:rsidR="00840E22">
        <w:rPr>
          <w:rFonts w:cs="Times New Roman"/>
          <w:color w:val="0D0D0D" w:themeColor="text1" w:themeTint="F2"/>
        </w:rPr>
        <w:t>in the are</w:t>
      </w:r>
      <w:r w:rsidR="00AA2BF4">
        <w:rPr>
          <w:rFonts w:cs="Times New Roman"/>
          <w:color w:val="0D0D0D" w:themeColor="text1" w:themeTint="F2"/>
        </w:rPr>
        <w:t>a of</w:t>
      </w:r>
      <w:proofErr w:type="gramEnd"/>
      <w:r w:rsidR="00AA2BF4">
        <w:rPr>
          <w:rFonts w:cs="Times New Roman"/>
          <w:color w:val="0D0D0D" w:themeColor="text1" w:themeTint="F2"/>
        </w:rPr>
        <w:t xml:space="preserve"> education, including access to studies.</w:t>
      </w:r>
    </w:p>
    <w:p w14:paraId="27417C30" w14:textId="4F3447B0" w:rsidR="00587F9E" w:rsidRPr="00B708B6" w:rsidRDefault="000D7CEF" w:rsidP="004A4C6A">
      <w:pPr>
        <w:pStyle w:val="ListParagraph"/>
        <w:numPr>
          <w:ilvl w:val="0"/>
          <w:numId w:val="120"/>
        </w:numPr>
        <w:rPr>
          <w:rFonts w:cs="Times New Roman"/>
          <w:color w:val="0D0D0D" w:themeColor="text1" w:themeTint="F2"/>
        </w:rPr>
      </w:pPr>
      <w:r>
        <w:rPr>
          <w:rFonts w:cs="Times New Roman"/>
          <w:color w:val="0D0D0D" w:themeColor="text1" w:themeTint="F2"/>
        </w:rPr>
        <w:t xml:space="preserve">Facilitate </w:t>
      </w:r>
      <w:r w:rsidR="005935D2">
        <w:rPr>
          <w:rFonts w:cs="Times New Roman"/>
          <w:color w:val="0D0D0D" w:themeColor="text1" w:themeTint="F2"/>
        </w:rPr>
        <w:t>standardisation and alignm</w:t>
      </w:r>
      <w:r w:rsidR="001D1FB5">
        <w:rPr>
          <w:rFonts w:cs="Times New Roman"/>
          <w:color w:val="0D0D0D" w:themeColor="text1" w:themeTint="F2"/>
        </w:rPr>
        <w:t xml:space="preserve">ent work in the education </w:t>
      </w:r>
      <w:r w:rsidR="006C7F97">
        <w:rPr>
          <w:rFonts w:cs="Times New Roman"/>
          <w:color w:val="0D0D0D" w:themeColor="text1" w:themeTint="F2"/>
        </w:rPr>
        <w:t xml:space="preserve">and vocational training </w:t>
      </w:r>
      <w:r w:rsidR="001D1FB5">
        <w:rPr>
          <w:rFonts w:cs="Times New Roman"/>
          <w:color w:val="0D0D0D" w:themeColor="text1" w:themeTint="F2"/>
        </w:rPr>
        <w:t>field</w:t>
      </w:r>
      <w:r w:rsidR="006C7F97">
        <w:rPr>
          <w:rFonts w:cs="Times New Roman"/>
          <w:color w:val="0D0D0D" w:themeColor="text1" w:themeTint="F2"/>
        </w:rPr>
        <w:t>s</w:t>
      </w:r>
      <w:r w:rsidR="001D1FB5">
        <w:rPr>
          <w:rFonts w:cs="Times New Roman"/>
          <w:color w:val="0D0D0D" w:themeColor="text1" w:themeTint="F2"/>
        </w:rPr>
        <w:t xml:space="preserve"> with </w:t>
      </w:r>
      <w:r w:rsidR="006C7F97">
        <w:rPr>
          <w:rFonts w:cs="Times New Roman"/>
          <w:color w:val="0D0D0D" w:themeColor="text1" w:themeTint="F2"/>
        </w:rPr>
        <w:t>the</w:t>
      </w:r>
      <w:r w:rsidR="001D1FB5" w:rsidRPr="001D1FB5">
        <w:rPr>
          <w:rFonts w:cs="Times New Roman"/>
          <w:color w:val="0D0D0D" w:themeColor="text1" w:themeTint="F2"/>
        </w:rPr>
        <w:t xml:space="preserve"> Education Reform Initiative of </w:t>
      </w:r>
      <w:proofErr w:type="gramStart"/>
      <w:r w:rsidR="001D1FB5" w:rsidRPr="001D1FB5">
        <w:rPr>
          <w:rFonts w:cs="Times New Roman"/>
          <w:color w:val="0D0D0D" w:themeColor="text1" w:themeTint="F2"/>
        </w:rPr>
        <w:t>South Eastern</w:t>
      </w:r>
      <w:proofErr w:type="gramEnd"/>
      <w:r w:rsidR="001D1FB5" w:rsidRPr="001D1FB5">
        <w:rPr>
          <w:rFonts w:cs="Times New Roman"/>
          <w:color w:val="0D0D0D" w:themeColor="text1" w:themeTint="F2"/>
        </w:rPr>
        <w:t xml:space="preserve"> Europe (ERI SEE).</w:t>
      </w:r>
    </w:p>
    <w:p w14:paraId="660EFDCD" w14:textId="77777777" w:rsidR="00FE63B2" w:rsidRDefault="00FE63B2" w:rsidP="00435630">
      <w:pPr>
        <w:rPr>
          <w:rFonts w:cs="Times New Roman"/>
          <w:color w:val="0D0D0D" w:themeColor="text1" w:themeTint="F2"/>
        </w:rPr>
      </w:pPr>
    </w:p>
    <w:p w14:paraId="5B39E9DC" w14:textId="0A48A0BF" w:rsidR="00435630" w:rsidRDefault="00435630" w:rsidP="00435630">
      <w:pPr>
        <w:rPr>
          <w:rFonts w:cs="Times New Roman"/>
          <w:color w:val="0D0D0D" w:themeColor="text1" w:themeTint="F2"/>
        </w:rPr>
      </w:pPr>
      <w:r w:rsidRPr="00B708B6">
        <w:rPr>
          <w:rFonts w:cs="Times New Roman"/>
          <w:color w:val="0D0D0D" w:themeColor="text1" w:themeTint="F2"/>
        </w:rPr>
        <w:lastRenderedPageBreak/>
        <w:t xml:space="preserve">Activities related to Output </w:t>
      </w:r>
      <w:r>
        <w:rPr>
          <w:rFonts w:cs="Times New Roman"/>
          <w:color w:val="0D0D0D" w:themeColor="text1" w:themeTint="F2"/>
        </w:rPr>
        <w:t>4.2</w:t>
      </w:r>
    </w:p>
    <w:p w14:paraId="3BA0696E" w14:textId="77777777" w:rsidR="000E35DC" w:rsidRDefault="000E35DC" w:rsidP="00435630">
      <w:pPr>
        <w:rPr>
          <w:rFonts w:cs="Times New Roman"/>
          <w:color w:val="0D0D0D" w:themeColor="text1" w:themeTint="F2"/>
        </w:rPr>
      </w:pPr>
    </w:p>
    <w:p w14:paraId="2B6776B4" w14:textId="5FE8AED4" w:rsidR="00FD0C24" w:rsidRPr="004A4C6A" w:rsidRDefault="00F42CC7" w:rsidP="00FD0C24">
      <w:pPr>
        <w:pStyle w:val="ListParagraph"/>
        <w:numPr>
          <w:ilvl w:val="0"/>
          <w:numId w:val="120"/>
        </w:numPr>
        <w:rPr>
          <w:rFonts w:cs="Times New Roman"/>
          <w:color w:val="0D0D0D" w:themeColor="text1" w:themeTint="F2"/>
          <w:szCs w:val="24"/>
        </w:rPr>
      </w:pPr>
      <w:r w:rsidRPr="004A4C6A">
        <w:rPr>
          <w:rFonts w:eastAsia="Times New Roman" w:cs="Times New Roman"/>
          <w:szCs w:val="24"/>
        </w:rPr>
        <w:t>Improve</w:t>
      </w:r>
      <w:r w:rsidR="001F7FD4" w:rsidRPr="004A4C6A">
        <w:rPr>
          <w:rFonts w:eastAsia="Times New Roman" w:cs="Times New Roman"/>
          <w:szCs w:val="24"/>
        </w:rPr>
        <w:t xml:space="preserve"> the</w:t>
      </w:r>
      <w:r w:rsidRPr="004A4C6A">
        <w:rPr>
          <w:rFonts w:eastAsia="Times New Roman" w:cs="Times New Roman"/>
          <w:szCs w:val="24"/>
        </w:rPr>
        <w:t xml:space="preserve"> framework </w:t>
      </w:r>
      <w:r w:rsidR="001F7FD4" w:rsidRPr="004A4C6A">
        <w:rPr>
          <w:rFonts w:eastAsia="Times New Roman" w:cs="Times New Roman"/>
          <w:szCs w:val="24"/>
        </w:rPr>
        <w:t>to further</w:t>
      </w:r>
      <w:r w:rsidRPr="004A4C6A">
        <w:rPr>
          <w:rFonts w:eastAsia="Times New Roman" w:cs="Times New Roman"/>
          <w:szCs w:val="24"/>
        </w:rPr>
        <w:t xml:space="preserve"> develop</w:t>
      </w:r>
      <w:r w:rsidR="001F7FD4" w:rsidRPr="004A4C6A">
        <w:rPr>
          <w:rFonts w:eastAsia="Times New Roman" w:cs="Times New Roman"/>
          <w:szCs w:val="24"/>
        </w:rPr>
        <w:t xml:space="preserve"> </w:t>
      </w:r>
      <w:r w:rsidRPr="004A4C6A">
        <w:rPr>
          <w:rFonts w:eastAsia="Times New Roman" w:cs="Times New Roman"/>
          <w:szCs w:val="24"/>
        </w:rPr>
        <w:t xml:space="preserve">dual education in the </w:t>
      </w:r>
      <w:proofErr w:type="gramStart"/>
      <w:r w:rsidRPr="004A4C6A">
        <w:rPr>
          <w:rFonts w:eastAsia="Times New Roman" w:cs="Times New Roman"/>
          <w:szCs w:val="24"/>
        </w:rPr>
        <w:t>WB6</w:t>
      </w:r>
      <w:proofErr w:type="gramEnd"/>
    </w:p>
    <w:p w14:paraId="0E999A1D" w14:textId="5B8FA654" w:rsidR="00C67394" w:rsidRPr="004A4C6A" w:rsidRDefault="00A0507C" w:rsidP="004A4C6A">
      <w:pPr>
        <w:pStyle w:val="ListParagraph"/>
        <w:numPr>
          <w:ilvl w:val="0"/>
          <w:numId w:val="120"/>
        </w:numPr>
        <w:rPr>
          <w:rStyle w:val="cf01"/>
          <w:rFonts w:ascii="Times New Roman" w:hAnsi="Times New Roman" w:cs="Times New Roman"/>
          <w:sz w:val="24"/>
          <w:szCs w:val="24"/>
        </w:rPr>
      </w:pPr>
      <w:r w:rsidRPr="004A4C6A">
        <w:rPr>
          <w:rFonts w:eastAsia="Times New Roman" w:cs="Times New Roman"/>
          <w:szCs w:val="24"/>
        </w:rPr>
        <w:t xml:space="preserve">Enhance knowledge-sharing between </w:t>
      </w:r>
      <w:r w:rsidR="009A2A54" w:rsidRPr="004A4C6A">
        <w:rPr>
          <w:rFonts w:eastAsia="Times New Roman" w:cs="Times New Roman"/>
          <w:szCs w:val="24"/>
        </w:rPr>
        <w:t>education</w:t>
      </w:r>
      <w:r w:rsidRPr="004A4C6A">
        <w:rPr>
          <w:rFonts w:eastAsia="Times New Roman" w:cs="Times New Roman"/>
          <w:szCs w:val="24"/>
        </w:rPr>
        <w:t>/</w:t>
      </w:r>
      <w:r w:rsidR="009A2A54" w:rsidRPr="004A4C6A">
        <w:rPr>
          <w:rFonts w:eastAsia="Times New Roman" w:cs="Times New Roman"/>
          <w:szCs w:val="24"/>
        </w:rPr>
        <w:t>training providers and</w:t>
      </w:r>
      <w:r w:rsidR="00B06816" w:rsidRPr="004A4C6A">
        <w:rPr>
          <w:rFonts w:eastAsia="Times New Roman" w:cs="Times New Roman"/>
          <w:szCs w:val="24"/>
        </w:rPr>
        <w:t xml:space="preserve"> businesses</w:t>
      </w:r>
      <w:r w:rsidR="00A56657" w:rsidRPr="004A4C6A">
        <w:rPr>
          <w:rFonts w:eastAsia="Times New Roman" w:cs="Times New Roman"/>
          <w:szCs w:val="24"/>
        </w:rPr>
        <w:t>,</w:t>
      </w:r>
      <w:r w:rsidR="001F7FD4" w:rsidRPr="004A4C6A">
        <w:rPr>
          <w:rFonts w:eastAsia="Times New Roman" w:cs="Times New Roman"/>
          <w:szCs w:val="24"/>
        </w:rPr>
        <w:t xml:space="preserve"> to address </w:t>
      </w:r>
      <w:r w:rsidR="003F3489" w:rsidRPr="004A4C6A">
        <w:rPr>
          <w:rFonts w:eastAsia="Times New Roman" w:cs="Times New Roman"/>
          <w:szCs w:val="24"/>
        </w:rPr>
        <w:t>qualifications and skills n</w:t>
      </w:r>
      <w:r w:rsidR="003F3489" w:rsidRPr="004A4C6A">
        <w:rPr>
          <w:rStyle w:val="cf01"/>
          <w:rFonts w:ascii="Times New Roman" w:hAnsi="Times New Roman" w:cs="Times New Roman"/>
          <w:sz w:val="24"/>
          <w:szCs w:val="24"/>
        </w:rPr>
        <w:t>eed</w:t>
      </w:r>
      <w:r w:rsidR="001F7FD4" w:rsidRPr="004A4C6A">
        <w:rPr>
          <w:rStyle w:val="cf01"/>
          <w:rFonts w:ascii="Times New Roman" w:hAnsi="Times New Roman" w:cs="Times New Roman"/>
          <w:sz w:val="24"/>
          <w:szCs w:val="24"/>
        </w:rPr>
        <w:t>s</w:t>
      </w:r>
      <w:r w:rsidR="00047BDE" w:rsidRPr="004A4C6A">
        <w:rPr>
          <w:rStyle w:val="cf01"/>
          <w:rFonts w:ascii="Times New Roman" w:hAnsi="Times New Roman" w:cs="Times New Roman"/>
          <w:sz w:val="24"/>
          <w:szCs w:val="24"/>
        </w:rPr>
        <w:t xml:space="preserve"> for</w:t>
      </w:r>
      <w:r w:rsidR="003F3489" w:rsidRPr="004A4C6A">
        <w:rPr>
          <w:rStyle w:val="cf01"/>
          <w:rFonts w:ascii="Times New Roman" w:hAnsi="Times New Roman" w:cs="Times New Roman"/>
          <w:sz w:val="24"/>
          <w:szCs w:val="24"/>
        </w:rPr>
        <w:t xml:space="preserve"> the regional </w:t>
      </w:r>
      <w:r w:rsidR="00F62B16" w:rsidRPr="004A4C6A">
        <w:rPr>
          <w:rStyle w:val="cf01"/>
          <w:rFonts w:ascii="Times New Roman" w:hAnsi="Times New Roman" w:cs="Times New Roman"/>
          <w:sz w:val="24"/>
          <w:szCs w:val="24"/>
        </w:rPr>
        <w:t xml:space="preserve">labour </w:t>
      </w:r>
      <w:proofErr w:type="gramStart"/>
      <w:r w:rsidR="00F62B16" w:rsidRPr="004A4C6A">
        <w:rPr>
          <w:rStyle w:val="cf01"/>
          <w:rFonts w:ascii="Times New Roman" w:hAnsi="Times New Roman" w:cs="Times New Roman"/>
          <w:sz w:val="24"/>
          <w:szCs w:val="24"/>
        </w:rPr>
        <w:t>market</w:t>
      </w:r>
      <w:proofErr w:type="gramEnd"/>
      <w:r w:rsidR="00F62B16" w:rsidRPr="004A4C6A">
        <w:rPr>
          <w:rStyle w:val="cf01"/>
          <w:rFonts w:ascii="Times New Roman" w:hAnsi="Times New Roman" w:cs="Times New Roman"/>
          <w:sz w:val="24"/>
          <w:szCs w:val="24"/>
        </w:rPr>
        <w:t xml:space="preserve"> </w:t>
      </w:r>
    </w:p>
    <w:p w14:paraId="4BB0D277" w14:textId="47022E1F" w:rsidR="00C67394" w:rsidRPr="004A4C6A" w:rsidRDefault="00782E35" w:rsidP="004A4C6A">
      <w:pPr>
        <w:pStyle w:val="ListParagraph"/>
        <w:numPr>
          <w:ilvl w:val="0"/>
          <w:numId w:val="120"/>
        </w:numPr>
        <w:rPr>
          <w:rFonts w:cs="Times New Roman"/>
          <w:color w:val="0D0D0D" w:themeColor="text1" w:themeTint="F2"/>
          <w:szCs w:val="24"/>
        </w:rPr>
      </w:pPr>
      <w:r w:rsidRPr="004A4C6A">
        <w:rPr>
          <w:rFonts w:eastAsia="Times New Roman" w:cs="Times New Roman"/>
          <w:szCs w:val="24"/>
        </w:rPr>
        <w:t>Improve the</w:t>
      </w:r>
      <w:r w:rsidR="00673989" w:rsidRPr="004A4C6A">
        <w:rPr>
          <w:rFonts w:eastAsia="Times New Roman" w:cs="Times New Roman"/>
          <w:szCs w:val="24"/>
        </w:rPr>
        <w:t xml:space="preserve"> licensing system for different </w:t>
      </w:r>
      <w:proofErr w:type="gramStart"/>
      <w:r w:rsidR="00673989" w:rsidRPr="004A4C6A">
        <w:rPr>
          <w:rFonts w:eastAsia="Times New Roman" w:cs="Times New Roman"/>
          <w:szCs w:val="24"/>
        </w:rPr>
        <w:t>occupations</w:t>
      </w:r>
      <w:proofErr w:type="gramEnd"/>
    </w:p>
    <w:p w14:paraId="0BC66999" w14:textId="77777777" w:rsidR="00FE63B2" w:rsidRPr="003F3489" w:rsidRDefault="00FE63B2" w:rsidP="004A4C6A">
      <w:pPr>
        <w:pStyle w:val="ListParagraph"/>
        <w:rPr>
          <w:rFonts w:cs="Times New Roman"/>
          <w:color w:val="0D0D0D" w:themeColor="text1" w:themeTint="F2"/>
        </w:rPr>
      </w:pPr>
    </w:p>
    <w:p w14:paraId="40913EF8" w14:textId="18E76C18" w:rsidR="00435630" w:rsidRDefault="00435630" w:rsidP="00435630">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4.3</w:t>
      </w:r>
    </w:p>
    <w:p w14:paraId="5DE5DEB4" w14:textId="77777777" w:rsidR="000E35DC" w:rsidRDefault="000E35DC" w:rsidP="00435630">
      <w:pPr>
        <w:rPr>
          <w:rFonts w:cs="Times New Roman"/>
          <w:color w:val="0D0D0D" w:themeColor="text1" w:themeTint="F2"/>
        </w:rPr>
      </w:pPr>
    </w:p>
    <w:p w14:paraId="45F8DBFD" w14:textId="0BA8AB17" w:rsidR="0005598C" w:rsidRPr="004A4C6A" w:rsidRDefault="0005598C" w:rsidP="004A4C6A">
      <w:pPr>
        <w:pStyle w:val="ListParagraph"/>
        <w:numPr>
          <w:ilvl w:val="0"/>
          <w:numId w:val="120"/>
        </w:numPr>
        <w:rPr>
          <w:rFonts w:cs="Times New Roman"/>
          <w:color w:val="0D0D0D" w:themeColor="text1" w:themeTint="F2"/>
        </w:rPr>
      </w:pPr>
      <w:r w:rsidRPr="0005598C">
        <w:rPr>
          <w:rFonts w:cs="Times New Roman"/>
          <w:color w:val="0D0D0D" w:themeColor="text1" w:themeTint="F2"/>
        </w:rPr>
        <w:t>Facilitate coordination of WB6 social security systems to align with EU social security standards.</w:t>
      </w:r>
    </w:p>
    <w:p w14:paraId="4B0F09C2" w14:textId="77777777" w:rsidR="00FE63B2" w:rsidRDefault="00FE63B2" w:rsidP="00435630">
      <w:pPr>
        <w:rPr>
          <w:rFonts w:cs="Times New Roman"/>
          <w:color w:val="0D0D0D" w:themeColor="text1" w:themeTint="F2"/>
        </w:rPr>
      </w:pPr>
    </w:p>
    <w:p w14:paraId="3E9DA891" w14:textId="1BD31660" w:rsidR="00435630" w:rsidRDefault="00435630" w:rsidP="00435630">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4.4</w:t>
      </w:r>
    </w:p>
    <w:p w14:paraId="74E0BD31" w14:textId="77777777" w:rsidR="000E35DC" w:rsidRDefault="000E35DC" w:rsidP="00435630">
      <w:pPr>
        <w:rPr>
          <w:rFonts w:cs="Times New Roman"/>
          <w:color w:val="0D0D0D" w:themeColor="text1" w:themeTint="F2"/>
        </w:rPr>
      </w:pPr>
    </w:p>
    <w:p w14:paraId="6178289A" w14:textId="0E183872" w:rsidR="00887D2F" w:rsidRDefault="00100EBF" w:rsidP="009848C2">
      <w:pPr>
        <w:pStyle w:val="ListParagraph"/>
        <w:numPr>
          <w:ilvl w:val="0"/>
          <w:numId w:val="120"/>
        </w:numPr>
        <w:rPr>
          <w:rFonts w:cs="Times New Roman"/>
          <w:color w:val="0D0D0D" w:themeColor="text1" w:themeTint="F2"/>
        </w:rPr>
      </w:pPr>
      <w:r>
        <w:rPr>
          <w:rFonts w:cs="Times New Roman"/>
          <w:color w:val="0D0D0D" w:themeColor="text1" w:themeTint="F2"/>
        </w:rPr>
        <w:t>Boost regional innovat</w:t>
      </w:r>
      <w:r w:rsidR="0031054C">
        <w:rPr>
          <w:rFonts w:cs="Times New Roman"/>
          <w:color w:val="0D0D0D" w:themeColor="text1" w:themeTint="F2"/>
        </w:rPr>
        <w:t xml:space="preserve">ion </w:t>
      </w:r>
      <w:r w:rsidR="00B928EA">
        <w:rPr>
          <w:rFonts w:cs="Times New Roman"/>
          <w:color w:val="0D0D0D" w:themeColor="text1" w:themeTint="F2"/>
        </w:rPr>
        <w:t>through</w:t>
      </w:r>
      <w:r w:rsidR="00001177">
        <w:rPr>
          <w:rFonts w:cs="Times New Roman"/>
          <w:color w:val="0D0D0D" w:themeColor="text1" w:themeTint="F2"/>
        </w:rPr>
        <w:t xml:space="preserve"> various activities, including </w:t>
      </w:r>
      <w:r w:rsidR="00B928EA">
        <w:rPr>
          <w:rFonts w:cs="Times New Roman"/>
          <w:color w:val="0D0D0D" w:themeColor="text1" w:themeTint="F2"/>
        </w:rPr>
        <w:t xml:space="preserve">facilitating </w:t>
      </w:r>
      <w:r w:rsidR="00DD1679">
        <w:rPr>
          <w:rFonts w:cs="Times New Roman"/>
          <w:color w:val="0D0D0D" w:themeColor="text1" w:themeTint="F2"/>
        </w:rPr>
        <w:t xml:space="preserve">transfer between academia and </w:t>
      </w:r>
      <w:proofErr w:type="gramStart"/>
      <w:r w:rsidR="00DD1679">
        <w:rPr>
          <w:rFonts w:cs="Times New Roman"/>
          <w:color w:val="0D0D0D" w:themeColor="text1" w:themeTint="F2"/>
        </w:rPr>
        <w:t>businesses</w:t>
      </w:r>
      <w:r w:rsidR="00887D2F">
        <w:rPr>
          <w:rFonts w:cs="Times New Roman"/>
          <w:color w:val="0D0D0D" w:themeColor="text1" w:themeTint="F2"/>
        </w:rPr>
        <w:t>;</w:t>
      </w:r>
      <w:proofErr w:type="gramEnd"/>
      <w:r w:rsidR="00887D2F">
        <w:rPr>
          <w:rFonts w:cs="Times New Roman"/>
          <w:color w:val="0D0D0D" w:themeColor="text1" w:themeTint="F2"/>
        </w:rPr>
        <w:t xml:space="preserve"> </w:t>
      </w:r>
    </w:p>
    <w:p w14:paraId="5D841662" w14:textId="34BE0420" w:rsidR="002F3264" w:rsidRDefault="00B928EA" w:rsidP="009848C2">
      <w:pPr>
        <w:pStyle w:val="ListParagraph"/>
        <w:numPr>
          <w:ilvl w:val="0"/>
          <w:numId w:val="120"/>
        </w:numPr>
        <w:rPr>
          <w:rFonts w:cs="Times New Roman"/>
          <w:color w:val="0D0D0D" w:themeColor="text1" w:themeTint="F2"/>
        </w:rPr>
      </w:pPr>
      <w:r>
        <w:rPr>
          <w:rFonts w:cs="Times New Roman"/>
          <w:color w:val="0D0D0D" w:themeColor="text1" w:themeTint="F2"/>
        </w:rPr>
        <w:t xml:space="preserve"> </w:t>
      </w:r>
      <w:r w:rsidR="00330027">
        <w:rPr>
          <w:rFonts w:cs="Times New Roman"/>
          <w:color w:val="0D0D0D" w:themeColor="text1" w:themeTint="F2"/>
        </w:rPr>
        <w:t>Facilitate initiatives involving</w:t>
      </w:r>
      <w:r w:rsidR="00BD1F4A">
        <w:rPr>
          <w:rFonts w:cs="Times New Roman"/>
          <w:color w:val="0D0D0D" w:themeColor="text1" w:themeTint="F2"/>
        </w:rPr>
        <w:t xml:space="preserve"> </w:t>
      </w:r>
      <w:r w:rsidR="00CD491F">
        <w:rPr>
          <w:rFonts w:cs="Times New Roman"/>
          <w:color w:val="0D0D0D" w:themeColor="text1" w:themeTint="F2"/>
        </w:rPr>
        <w:t>deep-tech and</w:t>
      </w:r>
      <w:r w:rsidR="00330027">
        <w:rPr>
          <w:rFonts w:cs="Times New Roman"/>
          <w:color w:val="0D0D0D" w:themeColor="text1" w:themeTint="F2"/>
        </w:rPr>
        <w:t xml:space="preserve"> </w:t>
      </w:r>
      <w:proofErr w:type="gramStart"/>
      <w:r w:rsidR="00330027">
        <w:rPr>
          <w:rFonts w:cs="Times New Roman"/>
          <w:color w:val="0D0D0D" w:themeColor="text1" w:themeTint="F2"/>
        </w:rPr>
        <w:t>start-ups</w:t>
      </w:r>
      <w:proofErr w:type="gramEnd"/>
    </w:p>
    <w:p w14:paraId="446BC078" w14:textId="46E4EBD9" w:rsidR="00001177" w:rsidRPr="004A4C6A" w:rsidRDefault="00001177" w:rsidP="004A4C6A">
      <w:pPr>
        <w:pStyle w:val="ListParagraph"/>
        <w:numPr>
          <w:ilvl w:val="0"/>
          <w:numId w:val="120"/>
        </w:numPr>
        <w:rPr>
          <w:rFonts w:cs="Times New Roman"/>
          <w:color w:val="0D0D0D" w:themeColor="text1" w:themeTint="F2"/>
        </w:rPr>
      </w:pPr>
      <w:r w:rsidRPr="00001177">
        <w:rPr>
          <w:rFonts w:cs="Times New Roman"/>
          <w:color w:val="0D0D0D" w:themeColor="text1" w:themeTint="F2"/>
        </w:rPr>
        <w:t xml:space="preserve">Support </w:t>
      </w:r>
      <w:r>
        <w:rPr>
          <w:rFonts w:cs="Times New Roman"/>
          <w:color w:val="0D0D0D" w:themeColor="text1" w:themeTint="F2"/>
        </w:rPr>
        <w:t>the d</w:t>
      </w:r>
      <w:r w:rsidRPr="00001177">
        <w:rPr>
          <w:rFonts w:cs="Times New Roman"/>
          <w:color w:val="0D0D0D" w:themeColor="text1" w:themeTint="F2"/>
        </w:rPr>
        <w:t xml:space="preserve">evelopment of </w:t>
      </w:r>
      <w:r>
        <w:rPr>
          <w:rFonts w:cs="Times New Roman"/>
          <w:color w:val="0D0D0D" w:themeColor="text1" w:themeTint="F2"/>
        </w:rPr>
        <w:t>r</w:t>
      </w:r>
      <w:r w:rsidRPr="00001177">
        <w:rPr>
          <w:rFonts w:cs="Times New Roman"/>
          <w:color w:val="0D0D0D" w:themeColor="text1" w:themeTint="F2"/>
        </w:rPr>
        <w:t xml:space="preserve">egional </w:t>
      </w:r>
      <w:r>
        <w:rPr>
          <w:rFonts w:cs="Times New Roman"/>
          <w:color w:val="0D0D0D" w:themeColor="text1" w:themeTint="F2"/>
        </w:rPr>
        <w:t>r</w:t>
      </w:r>
      <w:r w:rsidRPr="00001177">
        <w:rPr>
          <w:rFonts w:cs="Times New Roman"/>
          <w:color w:val="0D0D0D" w:themeColor="text1" w:themeTint="F2"/>
        </w:rPr>
        <w:t xml:space="preserve">esearch and </w:t>
      </w:r>
      <w:r>
        <w:rPr>
          <w:rFonts w:cs="Times New Roman"/>
          <w:color w:val="0D0D0D" w:themeColor="text1" w:themeTint="F2"/>
        </w:rPr>
        <w:t>i</w:t>
      </w:r>
      <w:r w:rsidRPr="00001177">
        <w:rPr>
          <w:rFonts w:cs="Times New Roman"/>
          <w:color w:val="0D0D0D" w:themeColor="text1" w:themeTint="F2"/>
        </w:rPr>
        <w:t xml:space="preserve">nnovation </w:t>
      </w:r>
      <w:proofErr w:type="gramStart"/>
      <w:r w:rsidRPr="00001177">
        <w:rPr>
          <w:rFonts w:cs="Times New Roman"/>
          <w:color w:val="0D0D0D" w:themeColor="text1" w:themeTint="F2"/>
        </w:rPr>
        <w:t>infrastructures</w:t>
      </w:r>
      <w:proofErr w:type="gramEnd"/>
    </w:p>
    <w:p w14:paraId="0ABCFE2F" w14:textId="77777777" w:rsidR="00FE63B2" w:rsidRDefault="00FE63B2" w:rsidP="00435630">
      <w:pPr>
        <w:rPr>
          <w:rFonts w:cs="Times New Roman"/>
          <w:color w:val="0D0D0D" w:themeColor="text1" w:themeTint="F2"/>
        </w:rPr>
      </w:pPr>
    </w:p>
    <w:p w14:paraId="003CBCD6" w14:textId="5BE8F1AE" w:rsidR="00435630" w:rsidRDefault="00435630" w:rsidP="00435630">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5.1</w:t>
      </w:r>
    </w:p>
    <w:p w14:paraId="29966304" w14:textId="77777777" w:rsidR="000E35DC" w:rsidRDefault="000E35DC" w:rsidP="00435630">
      <w:pPr>
        <w:rPr>
          <w:rFonts w:cs="Times New Roman"/>
          <w:color w:val="0D0D0D" w:themeColor="text1" w:themeTint="F2"/>
        </w:rPr>
      </w:pPr>
    </w:p>
    <w:p w14:paraId="29F02069" w14:textId="0BB3F974" w:rsidR="00C543E7" w:rsidRPr="004A4C6A" w:rsidRDefault="00153BEB" w:rsidP="004A4C6A">
      <w:pPr>
        <w:pStyle w:val="ListParagraph"/>
        <w:numPr>
          <w:ilvl w:val="0"/>
          <w:numId w:val="120"/>
        </w:numPr>
        <w:rPr>
          <w:rFonts w:cs="Times New Roman"/>
          <w:color w:val="0D0D0D" w:themeColor="text1" w:themeTint="F2"/>
        </w:rPr>
      </w:pPr>
      <w:r>
        <w:rPr>
          <w:rFonts w:cs="Times New Roman"/>
          <w:color w:val="0D0D0D" w:themeColor="text1" w:themeTint="F2"/>
        </w:rPr>
        <w:t>Support sustainable and digital finance</w:t>
      </w:r>
      <w:r w:rsidR="00D23EE8">
        <w:rPr>
          <w:rFonts w:cs="Times New Roman"/>
          <w:color w:val="0D0D0D" w:themeColor="text1" w:themeTint="F2"/>
        </w:rPr>
        <w:t xml:space="preserve"> through technical </w:t>
      </w:r>
      <w:r w:rsidR="753993EE" w:rsidRPr="6C962B72">
        <w:rPr>
          <w:rFonts w:cs="Times New Roman"/>
          <w:color w:val="0D0D0D" w:themeColor="text1" w:themeTint="F2"/>
        </w:rPr>
        <w:t>assistance</w:t>
      </w:r>
      <w:r w:rsidR="007A41AE">
        <w:rPr>
          <w:rFonts w:cs="Times New Roman"/>
          <w:color w:val="0D0D0D" w:themeColor="text1" w:themeTint="F2"/>
        </w:rPr>
        <w:t xml:space="preserve"> in various aspects</w:t>
      </w:r>
      <w:r w:rsidR="00683BB7">
        <w:rPr>
          <w:rFonts w:cs="Times New Roman"/>
          <w:color w:val="0D0D0D" w:themeColor="text1" w:themeTint="F2"/>
        </w:rPr>
        <w:t xml:space="preserve">, such as </w:t>
      </w:r>
      <w:r w:rsidR="000105A3">
        <w:rPr>
          <w:rFonts w:cs="Times New Roman"/>
          <w:color w:val="0D0D0D" w:themeColor="text1" w:themeTint="F2"/>
        </w:rPr>
        <w:t xml:space="preserve">harmonised </w:t>
      </w:r>
      <w:r w:rsidR="00F11786">
        <w:rPr>
          <w:rFonts w:cs="Times New Roman"/>
          <w:color w:val="0D0D0D" w:themeColor="text1" w:themeTint="F2"/>
        </w:rPr>
        <w:t>taxonomy</w:t>
      </w:r>
      <w:r w:rsidR="00A20D03">
        <w:rPr>
          <w:rFonts w:cs="Times New Roman"/>
          <w:color w:val="0D0D0D" w:themeColor="text1" w:themeTint="F2"/>
        </w:rPr>
        <w:t>, green bonds</w:t>
      </w:r>
      <w:r w:rsidR="000105A3">
        <w:rPr>
          <w:rFonts w:cs="Times New Roman"/>
          <w:color w:val="0D0D0D" w:themeColor="text1" w:themeTint="F2"/>
        </w:rPr>
        <w:t xml:space="preserve"> and </w:t>
      </w:r>
      <w:proofErr w:type="gramStart"/>
      <w:r w:rsidR="000105A3">
        <w:rPr>
          <w:rFonts w:cs="Times New Roman"/>
          <w:color w:val="0D0D0D" w:themeColor="text1" w:themeTint="F2"/>
        </w:rPr>
        <w:t>fintech</w:t>
      </w:r>
      <w:proofErr w:type="gramEnd"/>
    </w:p>
    <w:p w14:paraId="2573BBE6" w14:textId="77777777" w:rsidR="00FE63B2" w:rsidRDefault="00FE63B2" w:rsidP="00435630">
      <w:pPr>
        <w:rPr>
          <w:rFonts w:cs="Times New Roman"/>
          <w:color w:val="0D0D0D" w:themeColor="text1" w:themeTint="F2"/>
        </w:rPr>
      </w:pPr>
    </w:p>
    <w:p w14:paraId="6840B7F7" w14:textId="31718F19" w:rsidR="00435630" w:rsidRDefault="00435630" w:rsidP="00435630">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5.2</w:t>
      </w:r>
    </w:p>
    <w:p w14:paraId="49B60561" w14:textId="77777777" w:rsidR="000E35DC" w:rsidRDefault="000E35DC" w:rsidP="00435630">
      <w:pPr>
        <w:rPr>
          <w:rFonts w:cs="Times New Roman"/>
          <w:color w:val="0D0D0D" w:themeColor="text1" w:themeTint="F2"/>
        </w:rPr>
      </w:pPr>
    </w:p>
    <w:p w14:paraId="55C7BBBA" w14:textId="07366CEC" w:rsidR="000B6344" w:rsidRDefault="00A04492" w:rsidP="000B6344">
      <w:pPr>
        <w:pStyle w:val="ListParagraph"/>
        <w:numPr>
          <w:ilvl w:val="0"/>
          <w:numId w:val="120"/>
        </w:numPr>
        <w:rPr>
          <w:rFonts w:cs="Times New Roman"/>
          <w:color w:val="0D0D0D" w:themeColor="text1" w:themeTint="F2"/>
        </w:rPr>
      </w:pPr>
      <w:r>
        <w:rPr>
          <w:rFonts w:cs="Times New Roman"/>
          <w:color w:val="0D0D0D" w:themeColor="text1" w:themeTint="F2"/>
        </w:rPr>
        <w:t>Support consumer finance</w:t>
      </w:r>
      <w:r w:rsidR="00CA53D5">
        <w:rPr>
          <w:rFonts w:cs="Times New Roman"/>
          <w:color w:val="0D0D0D" w:themeColor="text1" w:themeTint="F2"/>
        </w:rPr>
        <w:t xml:space="preserve"> e.g. SEPA, TIPS</w:t>
      </w:r>
      <w:r w:rsidR="0068144E">
        <w:rPr>
          <w:rFonts w:cs="Times New Roman"/>
          <w:color w:val="0D0D0D" w:themeColor="text1" w:themeTint="F2"/>
        </w:rPr>
        <w:t xml:space="preserve"> and engagement</w:t>
      </w:r>
      <w:r w:rsidR="00494C56">
        <w:rPr>
          <w:rFonts w:cs="Times New Roman"/>
          <w:color w:val="0D0D0D" w:themeColor="text1" w:themeTint="F2"/>
        </w:rPr>
        <w:t>s</w:t>
      </w:r>
      <w:r w:rsidR="0068144E">
        <w:rPr>
          <w:rFonts w:cs="Times New Roman"/>
          <w:color w:val="0D0D0D" w:themeColor="text1" w:themeTint="F2"/>
        </w:rPr>
        <w:t xml:space="preserve"> with </w:t>
      </w:r>
      <w:r w:rsidR="00C5235A">
        <w:rPr>
          <w:rFonts w:cs="Times New Roman"/>
          <w:color w:val="0D0D0D" w:themeColor="text1" w:themeTint="F2"/>
        </w:rPr>
        <w:t xml:space="preserve">international payment service </w:t>
      </w:r>
      <w:proofErr w:type="gramStart"/>
      <w:r w:rsidR="00C5235A">
        <w:rPr>
          <w:rFonts w:cs="Times New Roman"/>
          <w:color w:val="0D0D0D" w:themeColor="text1" w:themeTint="F2"/>
        </w:rPr>
        <w:t>providers</w:t>
      </w:r>
      <w:proofErr w:type="gramEnd"/>
    </w:p>
    <w:p w14:paraId="1A0CE54F" w14:textId="30B45798" w:rsidR="00C4606E" w:rsidRPr="004A4C6A" w:rsidRDefault="00C4606E" w:rsidP="004A4C6A">
      <w:pPr>
        <w:pStyle w:val="ListParagraph"/>
        <w:numPr>
          <w:ilvl w:val="0"/>
          <w:numId w:val="120"/>
        </w:numPr>
        <w:rPr>
          <w:rFonts w:cs="Times New Roman"/>
          <w:color w:val="0D0D0D" w:themeColor="text1" w:themeTint="F2"/>
        </w:rPr>
      </w:pPr>
      <w:r>
        <w:rPr>
          <w:rFonts w:cs="Times New Roman"/>
          <w:color w:val="0D0D0D" w:themeColor="text1" w:themeTint="F2"/>
        </w:rPr>
        <w:t xml:space="preserve">Support the region’s financial </w:t>
      </w:r>
      <w:proofErr w:type="gramStart"/>
      <w:r>
        <w:rPr>
          <w:rFonts w:cs="Times New Roman"/>
          <w:color w:val="0D0D0D" w:themeColor="text1" w:themeTint="F2"/>
        </w:rPr>
        <w:t>literacy</w:t>
      </w:r>
      <w:proofErr w:type="gramEnd"/>
    </w:p>
    <w:p w14:paraId="16CF2AD4" w14:textId="77777777" w:rsidR="00FE63B2" w:rsidRDefault="00FE63B2" w:rsidP="00435630">
      <w:pPr>
        <w:rPr>
          <w:rFonts w:cs="Times New Roman"/>
          <w:color w:val="0D0D0D" w:themeColor="text1" w:themeTint="F2"/>
        </w:rPr>
      </w:pPr>
    </w:p>
    <w:p w14:paraId="125F7805" w14:textId="685F32C8" w:rsidR="00435630" w:rsidRDefault="00435630" w:rsidP="00435630">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5.3</w:t>
      </w:r>
    </w:p>
    <w:p w14:paraId="07BE9BA5" w14:textId="77777777" w:rsidR="000E35DC" w:rsidRDefault="000E35DC" w:rsidP="00435630">
      <w:pPr>
        <w:rPr>
          <w:rFonts w:cs="Times New Roman"/>
          <w:color w:val="0D0D0D" w:themeColor="text1" w:themeTint="F2"/>
        </w:rPr>
      </w:pPr>
    </w:p>
    <w:p w14:paraId="637A2188" w14:textId="12758081" w:rsidR="00221123" w:rsidRPr="004A4C6A" w:rsidRDefault="00221123" w:rsidP="004A4C6A">
      <w:pPr>
        <w:pStyle w:val="ListParagraph"/>
        <w:numPr>
          <w:ilvl w:val="0"/>
          <w:numId w:val="120"/>
        </w:numPr>
        <w:rPr>
          <w:rFonts w:cs="Times New Roman"/>
          <w:color w:val="0D0D0D" w:themeColor="text1" w:themeTint="F2"/>
        </w:rPr>
      </w:pPr>
      <w:r>
        <w:rPr>
          <w:rFonts w:cs="Times New Roman"/>
          <w:color w:val="0D0D0D" w:themeColor="text1" w:themeTint="F2"/>
        </w:rPr>
        <w:t>Support investment in the region</w:t>
      </w:r>
      <w:r w:rsidR="00EA2D13">
        <w:rPr>
          <w:rFonts w:cs="Times New Roman"/>
          <w:color w:val="0D0D0D" w:themeColor="text1" w:themeTint="F2"/>
        </w:rPr>
        <w:t xml:space="preserve">, including foreign direct </w:t>
      </w:r>
      <w:proofErr w:type="gramStart"/>
      <w:r w:rsidR="004827FA">
        <w:rPr>
          <w:rFonts w:cs="Times New Roman"/>
          <w:color w:val="0D0D0D" w:themeColor="text1" w:themeTint="F2"/>
        </w:rPr>
        <w:t>investments</w:t>
      </w:r>
      <w:proofErr w:type="gramEnd"/>
    </w:p>
    <w:p w14:paraId="0AD2A61D" w14:textId="77777777" w:rsidR="00FE63B2" w:rsidRDefault="00FE63B2" w:rsidP="00435630">
      <w:pPr>
        <w:rPr>
          <w:rFonts w:cs="Times New Roman"/>
          <w:color w:val="0D0D0D" w:themeColor="text1" w:themeTint="F2"/>
        </w:rPr>
      </w:pPr>
    </w:p>
    <w:p w14:paraId="738C06A5" w14:textId="69902DA9" w:rsidR="00435630" w:rsidRDefault="00435630" w:rsidP="00435630">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5.4</w:t>
      </w:r>
    </w:p>
    <w:p w14:paraId="621322B4" w14:textId="77777777" w:rsidR="000E35DC" w:rsidRDefault="000E35DC" w:rsidP="00435630">
      <w:pPr>
        <w:rPr>
          <w:rFonts w:cs="Times New Roman"/>
          <w:color w:val="0D0D0D" w:themeColor="text1" w:themeTint="F2"/>
        </w:rPr>
      </w:pPr>
    </w:p>
    <w:p w14:paraId="2D396F67" w14:textId="0530FF3F" w:rsidR="00F8221B" w:rsidRPr="004A4C6A" w:rsidRDefault="00F8221B" w:rsidP="00F8221B">
      <w:pPr>
        <w:pStyle w:val="ListParagraph"/>
        <w:numPr>
          <w:ilvl w:val="0"/>
          <w:numId w:val="120"/>
        </w:numPr>
        <w:rPr>
          <w:rFonts w:eastAsia="Times New Roman" w:cs="Times New Roman"/>
          <w:szCs w:val="24"/>
        </w:rPr>
      </w:pPr>
      <w:r w:rsidRPr="004A4C6A">
        <w:rPr>
          <w:rFonts w:eastAsia="Times New Roman" w:cs="Times New Roman"/>
          <w:szCs w:val="24"/>
        </w:rPr>
        <w:t xml:space="preserve">Enable </w:t>
      </w:r>
      <w:r w:rsidR="00336748">
        <w:rPr>
          <w:rFonts w:eastAsia="Times New Roman" w:cs="Times New Roman"/>
          <w:szCs w:val="24"/>
        </w:rPr>
        <w:t>r</w:t>
      </w:r>
      <w:r w:rsidRPr="004A4C6A">
        <w:rPr>
          <w:rFonts w:eastAsia="Times New Roman" w:cs="Times New Roman"/>
          <w:szCs w:val="24"/>
        </w:rPr>
        <w:t xml:space="preserve">egular monitoring of industrial development and regional industrial </w:t>
      </w:r>
      <w:proofErr w:type="gramStart"/>
      <w:r w:rsidRPr="004A4C6A">
        <w:rPr>
          <w:rFonts w:eastAsia="Times New Roman" w:cs="Times New Roman"/>
          <w:szCs w:val="24"/>
        </w:rPr>
        <w:t>cooperation</w:t>
      </w:r>
      <w:proofErr w:type="gramEnd"/>
    </w:p>
    <w:p w14:paraId="64DF632B" w14:textId="64B7EE1C" w:rsidR="00F8221B" w:rsidRPr="004A4C6A" w:rsidRDefault="007711B4" w:rsidP="004A4C6A">
      <w:pPr>
        <w:pStyle w:val="ListParagraph"/>
        <w:numPr>
          <w:ilvl w:val="0"/>
          <w:numId w:val="120"/>
        </w:numPr>
        <w:rPr>
          <w:rFonts w:eastAsia="Times New Roman" w:cs="Times New Roman"/>
          <w:szCs w:val="24"/>
        </w:rPr>
      </w:pPr>
      <w:r w:rsidRPr="004A4C6A">
        <w:rPr>
          <w:rFonts w:eastAsia="Times New Roman" w:cs="Times New Roman"/>
          <w:szCs w:val="24"/>
        </w:rPr>
        <w:t xml:space="preserve">Prepare </w:t>
      </w:r>
      <w:r w:rsidR="00854891" w:rsidRPr="004A4C6A">
        <w:rPr>
          <w:rFonts w:eastAsia="Times New Roman" w:cs="Times New Roman"/>
          <w:szCs w:val="24"/>
        </w:rPr>
        <w:t>a regional strategy on integrating</w:t>
      </w:r>
      <w:r w:rsidR="005861F6" w:rsidRPr="004A4C6A">
        <w:rPr>
          <w:rFonts w:eastAsia="Times New Roman" w:cs="Times New Roman"/>
          <w:szCs w:val="24"/>
        </w:rPr>
        <w:t xml:space="preserve"> key industrial sectors</w:t>
      </w:r>
      <w:r w:rsidR="00854891" w:rsidRPr="004A4C6A">
        <w:rPr>
          <w:rFonts w:eastAsia="Times New Roman" w:cs="Times New Roman"/>
          <w:szCs w:val="24"/>
        </w:rPr>
        <w:t xml:space="preserve"> into European value and supply </w:t>
      </w:r>
      <w:proofErr w:type="gramStart"/>
      <w:r w:rsidR="00854891" w:rsidRPr="004A4C6A">
        <w:rPr>
          <w:rFonts w:eastAsia="Times New Roman" w:cs="Times New Roman"/>
          <w:szCs w:val="24"/>
        </w:rPr>
        <w:t>chains</w:t>
      </w:r>
      <w:proofErr w:type="gramEnd"/>
    </w:p>
    <w:p w14:paraId="4B5BF664" w14:textId="77777777" w:rsidR="003632C9" w:rsidRDefault="003632C9" w:rsidP="00435630">
      <w:pPr>
        <w:rPr>
          <w:rFonts w:cs="Times New Roman"/>
          <w:color w:val="0D0D0D" w:themeColor="text1" w:themeTint="F2"/>
        </w:rPr>
      </w:pPr>
    </w:p>
    <w:p w14:paraId="34EDB5DC" w14:textId="29B83DCB" w:rsidR="00435630" w:rsidRDefault="00435630" w:rsidP="00435630">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5.5</w:t>
      </w:r>
    </w:p>
    <w:p w14:paraId="73B5D9DF" w14:textId="77777777" w:rsidR="000E35DC" w:rsidRDefault="000E35DC" w:rsidP="00435630">
      <w:pPr>
        <w:rPr>
          <w:rFonts w:cs="Times New Roman"/>
          <w:color w:val="0D0D0D" w:themeColor="text1" w:themeTint="F2"/>
        </w:rPr>
      </w:pPr>
    </w:p>
    <w:p w14:paraId="5137D5CF" w14:textId="30ECC254" w:rsidR="00AC21EB" w:rsidRPr="004A4C6A" w:rsidRDefault="005E32ED" w:rsidP="00994D6F">
      <w:pPr>
        <w:pStyle w:val="ListParagraph"/>
        <w:numPr>
          <w:ilvl w:val="0"/>
          <w:numId w:val="120"/>
        </w:numPr>
        <w:rPr>
          <w:rFonts w:eastAsia="Times New Roman" w:cs="Times New Roman"/>
          <w:szCs w:val="24"/>
        </w:rPr>
      </w:pPr>
      <w:r w:rsidRPr="004A4C6A">
        <w:rPr>
          <w:rFonts w:eastAsia="Times New Roman" w:cs="Times New Roman"/>
          <w:szCs w:val="24"/>
        </w:rPr>
        <w:t>A</w:t>
      </w:r>
      <w:r w:rsidR="00645871" w:rsidRPr="004A4C6A">
        <w:rPr>
          <w:rFonts w:eastAsia="Times New Roman" w:cs="Times New Roman"/>
          <w:szCs w:val="24"/>
        </w:rPr>
        <w:t xml:space="preserve">cademia-business collaboration on green tech </w:t>
      </w:r>
    </w:p>
    <w:p w14:paraId="2364CE4A" w14:textId="5A2D3C9F" w:rsidR="00217CEB" w:rsidRPr="004A4C6A" w:rsidRDefault="00A84742" w:rsidP="00994D6F">
      <w:pPr>
        <w:pStyle w:val="ListParagraph"/>
        <w:numPr>
          <w:ilvl w:val="0"/>
          <w:numId w:val="120"/>
        </w:numPr>
        <w:rPr>
          <w:rFonts w:eastAsia="Times New Roman" w:cs="Times New Roman"/>
          <w:szCs w:val="24"/>
        </w:rPr>
      </w:pPr>
      <w:r w:rsidRPr="004A4C6A">
        <w:rPr>
          <w:rFonts w:eastAsia="Times New Roman" w:cs="Times New Roman"/>
          <w:szCs w:val="24"/>
        </w:rPr>
        <w:t xml:space="preserve">Pilot Digital Product Passports at </w:t>
      </w:r>
      <w:r w:rsidR="00FD3852" w:rsidRPr="004A4C6A">
        <w:rPr>
          <w:rFonts w:eastAsia="Times New Roman" w:cs="Times New Roman"/>
          <w:szCs w:val="24"/>
        </w:rPr>
        <w:t xml:space="preserve">WB </w:t>
      </w:r>
      <w:r w:rsidR="006559E9" w:rsidRPr="004A4C6A">
        <w:rPr>
          <w:rFonts w:eastAsia="Times New Roman" w:cs="Times New Roman"/>
          <w:szCs w:val="24"/>
        </w:rPr>
        <w:t>economy</w:t>
      </w:r>
      <w:r w:rsidRPr="004A4C6A">
        <w:rPr>
          <w:rFonts w:eastAsia="Times New Roman" w:cs="Times New Roman"/>
          <w:szCs w:val="24"/>
        </w:rPr>
        <w:t xml:space="preserve"> </w:t>
      </w:r>
      <w:r w:rsidR="00472F28" w:rsidRPr="004A4C6A">
        <w:rPr>
          <w:rFonts w:eastAsia="Times New Roman" w:cs="Times New Roman"/>
          <w:szCs w:val="24"/>
        </w:rPr>
        <w:t xml:space="preserve">level </w:t>
      </w:r>
    </w:p>
    <w:p w14:paraId="5D302DF9" w14:textId="55725D59" w:rsidR="00A84742" w:rsidRPr="004A4C6A" w:rsidRDefault="00C2633D" w:rsidP="004A4C6A">
      <w:pPr>
        <w:pStyle w:val="ListParagraph"/>
        <w:numPr>
          <w:ilvl w:val="0"/>
          <w:numId w:val="120"/>
        </w:numPr>
        <w:rPr>
          <w:rFonts w:eastAsia="Times New Roman" w:cs="Times New Roman"/>
        </w:rPr>
      </w:pPr>
      <w:r w:rsidRPr="004A4C6A">
        <w:rPr>
          <w:rFonts w:eastAsia="Times New Roman" w:cs="Times New Roman"/>
        </w:rPr>
        <w:t xml:space="preserve">Enhance cooperation between eco-industrial </w:t>
      </w:r>
      <w:proofErr w:type="gramStart"/>
      <w:r w:rsidRPr="004A4C6A">
        <w:rPr>
          <w:rFonts w:eastAsia="Times New Roman" w:cs="Times New Roman"/>
        </w:rPr>
        <w:t>parks</w:t>
      </w:r>
      <w:proofErr w:type="gramEnd"/>
    </w:p>
    <w:p w14:paraId="6D073AD6" w14:textId="434BD90D" w:rsidR="006E180D" w:rsidRDefault="006E180D" w:rsidP="00435630">
      <w:pPr>
        <w:rPr>
          <w:rFonts w:cs="Times New Roman"/>
          <w:color w:val="0D0D0D" w:themeColor="text1" w:themeTint="F2"/>
        </w:rPr>
      </w:pPr>
    </w:p>
    <w:p w14:paraId="762A9780" w14:textId="4ABA6D7D" w:rsidR="00435630" w:rsidRDefault="00435630" w:rsidP="00435630">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5.6</w:t>
      </w:r>
    </w:p>
    <w:p w14:paraId="6900A492" w14:textId="77777777" w:rsidR="000E35DC" w:rsidRDefault="000E35DC" w:rsidP="00435630">
      <w:pPr>
        <w:rPr>
          <w:rFonts w:cs="Times New Roman"/>
          <w:color w:val="0D0D0D" w:themeColor="text1" w:themeTint="F2"/>
        </w:rPr>
      </w:pPr>
    </w:p>
    <w:p w14:paraId="6A843C0A" w14:textId="05E7D3E1" w:rsidR="00525412" w:rsidRPr="004A4C6A" w:rsidRDefault="00A028C0" w:rsidP="00126C38">
      <w:pPr>
        <w:pStyle w:val="ListParagraph"/>
        <w:numPr>
          <w:ilvl w:val="0"/>
          <w:numId w:val="120"/>
        </w:numPr>
        <w:rPr>
          <w:rFonts w:eastAsia="Times New Roman" w:cs="Times New Roman"/>
          <w:szCs w:val="24"/>
        </w:rPr>
      </w:pPr>
      <w:r w:rsidRPr="004A4C6A">
        <w:rPr>
          <w:rFonts w:eastAsia="Times New Roman" w:cs="Times New Roman"/>
          <w:szCs w:val="24"/>
        </w:rPr>
        <w:t xml:space="preserve">Introduce </w:t>
      </w:r>
      <w:r w:rsidR="00126C38" w:rsidRPr="004A4C6A">
        <w:rPr>
          <w:rFonts w:eastAsia="Times New Roman" w:cs="Times New Roman"/>
          <w:szCs w:val="24"/>
        </w:rPr>
        <w:t xml:space="preserve">a </w:t>
      </w:r>
      <w:r w:rsidRPr="004A4C6A">
        <w:rPr>
          <w:rFonts w:eastAsia="Times New Roman" w:cs="Times New Roman"/>
          <w:szCs w:val="24"/>
        </w:rPr>
        <w:t xml:space="preserve">regulatory framework targeting alternative financing </w:t>
      </w:r>
      <w:proofErr w:type="gramStart"/>
      <w:r w:rsidRPr="004A4C6A">
        <w:rPr>
          <w:rFonts w:eastAsia="Times New Roman" w:cs="Times New Roman"/>
          <w:szCs w:val="24"/>
        </w:rPr>
        <w:t>options</w:t>
      </w:r>
      <w:proofErr w:type="gramEnd"/>
      <w:r w:rsidRPr="004A4C6A" w:rsidDel="00A028C0">
        <w:rPr>
          <w:rFonts w:eastAsia="Times New Roman" w:cs="Times New Roman"/>
          <w:szCs w:val="24"/>
        </w:rPr>
        <w:t xml:space="preserve"> </w:t>
      </w:r>
    </w:p>
    <w:p w14:paraId="01E3F341" w14:textId="20F7C86D" w:rsidR="00501AED" w:rsidRPr="004A4C6A" w:rsidRDefault="00501AED" w:rsidP="00501AED">
      <w:pPr>
        <w:pStyle w:val="ListParagraph"/>
        <w:numPr>
          <w:ilvl w:val="0"/>
          <w:numId w:val="120"/>
        </w:numPr>
        <w:rPr>
          <w:rFonts w:eastAsia="Times New Roman" w:cs="Times New Roman"/>
          <w:szCs w:val="24"/>
        </w:rPr>
      </w:pPr>
      <w:r w:rsidRPr="004A4C6A">
        <w:rPr>
          <w:rFonts w:eastAsia="Times New Roman" w:cs="Times New Roman"/>
          <w:szCs w:val="24"/>
        </w:rPr>
        <w:t xml:space="preserve">Adopt guidelines for establishing co-investment </w:t>
      </w:r>
      <w:proofErr w:type="gramStart"/>
      <w:r w:rsidRPr="004A4C6A">
        <w:rPr>
          <w:rFonts w:eastAsia="Times New Roman" w:cs="Times New Roman"/>
          <w:szCs w:val="24"/>
        </w:rPr>
        <w:t>schemes</w:t>
      </w:r>
      <w:proofErr w:type="gramEnd"/>
    </w:p>
    <w:p w14:paraId="00DB449D" w14:textId="77777777" w:rsidR="00126C38" w:rsidRPr="00525412" w:rsidRDefault="00126C38" w:rsidP="00525412">
      <w:pPr>
        <w:pStyle w:val="ListParagraph"/>
        <w:rPr>
          <w:color w:val="0D0D0D" w:themeColor="text1" w:themeTint="F2"/>
        </w:rPr>
      </w:pPr>
    </w:p>
    <w:p w14:paraId="659A723A" w14:textId="71706B8F" w:rsidR="00435630" w:rsidRDefault="00435630" w:rsidP="00126C38">
      <w:pPr>
        <w:rPr>
          <w:color w:val="0D0D0D" w:themeColor="text1" w:themeTint="F2"/>
        </w:rPr>
      </w:pPr>
      <w:r w:rsidRPr="00932379">
        <w:rPr>
          <w:color w:val="0D0D0D" w:themeColor="text1" w:themeTint="F2"/>
        </w:rPr>
        <w:t>Activities related to Output 5.7</w:t>
      </w:r>
    </w:p>
    <w:p w14:paraId="4CCA8908" w14:textId="77777777" w:rsidR="000E35DC" w:rsidRPr="00932379" w:rsidRDefault="000E35DC" w:rsidP="00126C38">
      <w:pPr>
        <w:rPr>
          <w:color w:val="0D0D0D" w:themeColor="text1" w:themeTint="F2"/>
        </w:rPr>
      </w:pPr>
    </w:p>
    <w:p w14:paraId="53AFA202" w14:textId="3D116A32" w:rsidR="00687B02" w:rsidRPr="004A4C6A" w:rsidRDefault="00EA6397" w:rsidP="00687B02">
      <w:pPr>
        <w:pStyle w:val="ListParagraph"/>
        <w:numPr>
          <w:ilvl w:val="0"/>
          <w:numId w:val="120"/>
        </w:numPr>
        <w:rPr>
          <w:rFonts w:eastAsia="Times New Roman" w:cs="Times New Roman"/>
          <w:szCs w:val="24"/>
        </w:rPr>
      </w:pPr>
      <w:r w:rsidRPr="004A4C6A">
        <w:rPr>
          <w:rFonts w:eastAsia="Times New Roman" w:cs="Times New Roman"/>
          <w:szCs w:val="24"/>
        </w:rPr>
        <w:t xml:space="preserve">Establish regional criteria for product innovation </w:t>
      </w:r>
      <w:proofErr w:type="gramStart"/>
      <w:r w:rsidRPr="004A4C6A">
        <w:rPr>
          <w:rFonts w:eastAsia="Times New Roman" w:cs="Times New Roman"/>
          <w:szCs w:val="24"/>
        </w:rPr>
        <w:t>entities</w:t>
      </w:r>
      <w:proofErr w:type="gramEnd"/>
    </w:p>
    <w:p w14:paraId="102AF953" w14:textId="5A2FF3A1" w:rsidR="005523D9" w:rsidRPr="004A4C6A" w:rsidRDefault="005523D9" w:rsidP="00687B02">
      <w:pPr>
        <w:pStyle w:val="ListParagraph"/>
        <w:numPr>
          <w:ilvl w:val="0"/>
          <w:numId w:val="120"/>
        </w:numPr>
        <w:rPr>
          <w:rFonts w:eastAsia="Times New Roman" w:cs="Times New Roman"/>
          <w:szCs w:val="24"/>
        </w:rPr>
      </w:pPr>
      <w:r w:rsidRPr="004A4C6A">
        <w:rPr>
          <w:rFonts w:eastAsia="Times New Roman" w:cs="Times New Roman"/>
          <w:szCs w:val="24"/>
        </w:rPr>
        <w:t>Improve the creation and enfor</w:t>
      </w:r>
      <w:r w:rsidR="000276D8" w:rsidRPr="004A4C6A">
        <w:rPr>
          <w:rFonts w:eastAsia="Times New Roman" w:cs="Times New Roman"/>
          <w:szCs w:val="24"/>
        </w:rPr>
        <w:t xml:space="preserve">cement of </w:t>
      </w:r>
      <w:r w:rsidRPr="004A4C6A">
        <w:rPr>
          <w:rFonts w:eastAsia="Times New Roman" w:cs="Times New Roman"/>
          <w:szCs w:val="24"/>
        </w:rPr>
        <w:t xml:space="preserve">intellectual property </w:t>
      </w:r>
      <w:proofErr w:type="gramStart"/>
      <w:r w:rsidRPr="004A4C6A">
        <w:rPr>
          <w:rFonts w:eastAsia="Times New Roman" w:cs="Times New Roman"/>
          <w:szCs w:val="24"/>
        </w:rPr>
        <w:t>rights</w:t>
      </w:r>
      <w:proofErr w:type="gramEnd"/>
    </w:p>
    <w:p w14:paraId="1CA1C18B" w14:textId="3CE67E13" w:rsidR="00BC4CB3" w:rsidRPr="004A4C6A" w:rsidRDefault="004027FF" w:rsidP="00687B02">
      <w:pPr>
        <w:pStyle w:val="ListParagraph"/>
        <w:numPr>
          <w:ilvl w:val="0"/>
          <w:numId w:val="120"/>
        </w:numPr>
        <w:rPr>
          <w:rFonts w:eastAsia="Times New Roman" w:cs="Times New Roman"/>
          <w:szCs w:val="24"/>
        </w:rPr>
      </w:pPr>
      <w:r w:rsidRPr="004A4C6A">
        <w:rPr>
          <w:rFonts w:eastAsia="Times New Roman" w:cs="Times New Roman"/>
          <w:szCs w:val="24"/>
        </w:rPr>
        <w:lastRenderedPageBreak/>
        <w:t xml:space="preserve">Support to SMEs and the WB chambers </w:t>
      </w:r>
      <w:r w:rsidR="00806353" w:rsidRPr="004A4C6A">
        <w:rPr>
          <w:rFonts w:eastAsia="Times New Roman" w:cs="Times New Roman"/>
          <w:szCs w:val="24"/>
        </w:rPr>
        <w:t xml:space="preserve">on access to </w:t>
      </w:r>
      <w:r w:rsidRPr="004A4C6A">
        <w:rPr>
          <w:rFonts w:eastAsia="Times New Roman" w:cs="Times New Roman"/>
          <w:szCs w:val="24"/>
        </w:rPr>
        <w:t xml:space="preserve">EU </w:t>
      </w:r>
      <w:proofErr w:type="gramStart"/>
      <w:r w:rsidRPr="004A4C6A">
        <w:rPr>
          <w:rFonts w:eastAsia="Times New Roman" w:cs="Times New Roman"/>
          <w:szCs w:val="24"/>
        </w:rPr>
        <w:t>funds</w:t>
      </w:r>
      <w:proofErr w:type="gramEnd"/>
    </w:p>
    <w:p w14:paraId="19586002" w14:textId="77777777" w:rsidR="00BA1EF3" w:rsidRDefault="00BA1EF3" w:rsidP="00FA577C">
      <w:pPr>
        <w:rPr>
          <w:rFonts w:cs="Times New Roman"/>
          <w:iCs/>
          <w:color w:val="0D0D0D" w:themeColor="text1" w:themeTint="F2"/>
          <w:szCs w:val="24"/>
        </w:rPr>
      </w:pPr>
    </w:p>
    <w:p w14:paraId="524CE8FB" w14:textId="29B81D88" w:rsidR="000E35DC" w:rsidRPr="004A4C6A" w:rsidRDefault="00FA577C" w:rsidP="000E35DC">
      <w:pPr>
        <w:rPr>
          <w:color w:val="0D0D0D" w:themeColor="text1" w:themeTint="F2"/>
        </w:rPr>
      </w:pPr>
      <w:r w:rsidRPr="004A4C6A">
        <w:rPr>
          <w:rFonts w:cs="Times New Roman"/>
          <w:color w:val="0D0D0D" w:themeColor="text1" w:themeTint="F2"/>
        </w:rPr>
        <w:t xml:space="preserve">Activities related to Output </w:t>
      </w:r>
      <w:r w:rsidR="00A452BC" w:rsidRPr="004A4C6A">
        <w:rPr>
          <w:rFonts w:cs="Times New Roman"/>
          <w:color w:val="0D0D0D" w:themeColor="text1" w:themeTint="F2"/>
        </w:rPr>
        <w:t>5.8</w:t>
      </w:r>
    </w:p>
    <w:p w14:paraId="0EE940D9" w14:textId="7E58DD4A" w:rsidR="00D27D9E" w:rsidRPr="00A56657" w:rsidRDefault="00D27D9E" w:rsidP="00A56657">
      <w:pPr>
        <w:rPr>
          <w:rFonts w:cs="Times New Roman"/>
          <w:color w:val="0D0D0D" w:themeColor="text1" w:themeTint="F2"/>
        </w:rPr>
      </w:pPr>
    </w:p>
    <w:p w14:paraId="47A07E9D" w14:textId="3C5B4C4D" w:rsidR="00236359" w:rsidRDefault="00A041AB" w:rsidP="008E3E2D">
      <w:pPr>
        <w:pStyle w:val="ListParagraph"/>
        <w:numPr>
          <w:ilvl w:val="0"/>
          <w:numId w:val="120"/>
        </w:numPr>
        <w:rPr>
          <w:rFonts w:eastAsia="Times New Roman" w:cs="Times New Roman"/>
        </w:rPr>
      </w:pPr>
      <w:r w:rsidRPr="004A4C6A">
        <w:rPr>
          <w:rFonts w:eastAsia="Times New Roman" w:cs="Times New Roman"/>
        </w:rPr>
        <w:t xml:space="preserve">Develop a strategic regional approach </w:t>
      </w:r>
      <w:r w:rsidR="0073752C" w:rsidRPr="004A4C6A">
        <w:rPr>
          <w:rFonts w:eastAsia="Times New Roman" w:cs="Times New Roman"/>
        </w:rPr>
        <w:t>to a green and digital sustain</w:t>
      </w:r>
      <w:r w:rsidR="009E7FCF" w:rsidRPr="004A4C6A">
        <w:rPr>
          <w:rFonts w:eastAsia="Times New Roman" w:cs="Times New Roman"/>
        </w:rPr>
        <w:t>able</w:t>
      </w:r>
      <w:r w:rsidR="004130F3" w:rsidRPr="004A4C6A">
        <w:rPr>
          <w:rFonts w:eastAsia="Times New Roman" w:cs="Times New Roman"/>
        </w:rPr>
        <w:t xml:space="preserve"> </w:t>
      </w:r>
      <w:r w:rsidR="009E7FCF" w:rsidRPr="004A4C6A">
        <w:rPr>
          <w:rFonts w:eastAsia="Times New Roman" w:cs="Times New Roman"/>
        </w:rPr>
        <w:t>t</w:t>
      </w:r>
      <w:r w:rsidR="004130F3" w:rsidRPr="004A4C6A">
        <w:rPr>
          <w:rFonts w:eastAsia="Times New Roman" w:cs="Times New Roman"/>
        </w:rPr>
        <w:t xml:space="preserve">ourism </w:t>
      </w:r>
      <w:proofErr w:type="gramStart"/>
      <w:r w:rsidR="009E7FCF" w:rsidRPr="004A4C6A">
        <w:rPr>
          <w:rFonts w:eastAsia="Times New Roman" w:cs="Times New Roman"/>
        </w:rPr>
        <w:t>t</w:t>
      </w:r>
      <w:r w:rsidR="004130F3" w:rsidRPr="004A4C6A">
        <w:rPr>
          <w:rFonts w:eastAsia="Times New Roman" w:cs="Times New Roman"/>
        </w:rPr>
        <w:t>ransition</w:t>
      </w:r>
      <w:proofErr w:type="gramEnd"/>
      <w:r w:rsidR="00656D5E" w:rsidRPr="004A4C6A">
        <w:rPr>
          <w:rFonts w:eastAsia="Times New Roman" w:cs="Times New Roman"/>
        </w:rPr>
        <w:t xml:space="preserve"> </w:t>
      </w:r>
    </w:p>
    <w:p w14:paraId="3F525370" w14:textId="6D3504F4" w:rsidR="00A56657" w:rsidRPr="004A4C6A" w:rsidRDefault="00A56657" w:rsidP="004A4C6A">
      <w:pPr>
        <w:pStyle w:val="ListParagraph"/>
        <w:rPr>
          <w:rFonts w:eastAsia="Times New Roman" w:cs="Times New Roman"/>
        </w:rPr>
      </w:pPr>
    </w:p>
    <w:p w14:paraId="3EC4BF05" w14:textId="77777777" w:rsidR="000E35DC" w:rsidRDefault="00F11296" w:rsidP="00F11296">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5.9</w:t>
      </w:r>
    </w:p>
    <w:p w14:paraId="1D41DCD3" w14:textId="0234CDB8" w:rsidR="00F11296" w:rsidRDefault="00F11296" w:rsidP="00F11296">
      <w:pPr>
        <w:rPr>
          <w:rFonts w:cs="Times New Roman"/>
          <w:color w:val="0D0D0D" w:themeColor="text1" w:themeTint="F2"/>
        </w:rPr>
      </w:pPr>
      <w:r>
        <w:rPr>
          <w:rFonts w:cs="Times New Roman"/>
          <w:color w:val="0D0D0D" w:themeColor="text1" w:themeTint="F2"/>
        </w:rPr>
        <w:t xml:space="preserve"> </w:t>
      </w:r>
    </w:p>
    <w:p w14:paraId="59ACEE8A" w14:textId="5B5EDBB5" w:rsidR="00B95E68" w:rsidRPr="004A4C6A" w:rsidRDefault="00236359" w:rsidP="004A4C6A">
      <w:pPr>
        <w:pStyle w:val="ListParagraph"/>
        <w:numPr>
          <w:ilvl w:val="0"/>
          <w:numId w:val="120"/>
        </w:numPr>
        <w:rPr>
          <w:rFonts w:eastAsia="Times New Roman" w:cs="Times New Roman"/>
        </w:rPr>
      </w:pPr>
      <w:r w:rsidRPr="004A4C6A">
        <w:rPr>
          <w:rFonts w:eastAsia="Times New Roman" w:cs="Times New Roman"/>
        </w:rPr>
        <w:t xml:space="preserve">Improve the infrastructure to support and develop women's </w:t>
      </w:r>
      <w:proofErr w:type="gramStart"/>
      <w:r w:rsidRPr="004A4C6A">
        <w:rPr>
          <w:rFonts w:eastAsia="Times New Roman" w:cs="Times New Roman"/>
        </w:rPr>
        <w:t>entrepreneurship</w:t>
      </w:r>
      <w:proofErr w:type="gramEnd"/>
    </w:p>
    <w:p w14:paraId="1D3D4A49" w14:textId="04D1CEC0" w:rsidR="00DB7A59" w:rsidRDefault="00DB7A59" w:rsidP="00B95E68">
      <w:pPr>
        <w:rPr>
          <w:rFonts w:cs="Times New Roman"/>
          <w:color w:val="0D0D0D" w:themeColor="text1" w:themeTint="F2"/>
        </w:rPr>
      </w:pPr>
    </w:p>
    <w:p w14:paraId="69204741" w14:textId="24599F34" w:rsidR="00F11296" w:rsidRDefault="00F11296" w:rsidP="00B95E68">
      <w:pPr>
        <w:rPr>
          <w:rFonts w:cs="Times New Roman"/>
          <w:color w:val="0D0D0D" w:themeColor="text1" w:themeTint="F2"/>
        </w:rPr>
      </w:pPr>
      <w:r w:rsidRPr="00E87B45">
        <w:rPr>
          <w:rFonts w:cs="Times New Roman"/>
          <w:color w:val="0D0D0D" w:themeColor="text1" w:themeTint="F2"/>
        </w:rPr>
        <w:t>Activities related to Output 5.10</w:t>
      </w:r>
    </w:p>
    <w:p w14:paraId="4EB20B54" w14:textId="77777777" w:rsidR="000E35DC" w:rsidRDefault="000E35DC" w:rsidP="00B95E68">
      <w:pPr>
        <w:rPr>
          <w:rFonts w:cs="Times New Roman"/>
          <w:color w:val="0D0D0D" w:themeColor="text1" w:themeTint="F2"/>
        </w:rPr>
      </w:pPr>
    </w:p>
    <w:p w14:paraId="4F03B0D1" w14:textId="5D01B605" w:rsidR="00320DE1" w:rsidRPr="004A4C6A" w:rsidRDefault="00320DE1" w:rsidP="00320DE1">
      <w:pPr>
        <w:pStyle w:val="ListParagraph"/>
        <w:numPr>
          <w:ilvl w:val="0"/>
          <w:numId w:val="120"/>
        </w:numPr>
        <w:rPr>
          <w:rFonts w:eastAsia="Times New Roman" w:cs="Times New Roman"/>
          <w:szCs w:val="24"/>
        </w:rPr>
      </w:pPr>
      <w:r w:rsidRPr="004A4C6A">
        <w:rPr>
          <w:rFonts w:eastAsia="Times New Roman" w:cs="Times New Roman"/>
          <w:szCs w:val="24"/>
        </w:rPr>
        <w:t xml:space="preserve">Expand the Regional Supplier Development Program </w:t>
      </w:r>
      <w:r w:rsidR="00A877E1">
        <w:rPr>
          <w:rFonts w:eastAsia="Times New Roman" w:cs="Times New Roman"/>
          <w:szCs w:val="24"/>
        </w:rPr>
        <w:t>to maximise</w:t>
      </w:r>
      <w:r w:rsidRPr="004A4C6A">
        <w:rPr>
          <w:rFonts w:eastAsia="Times New Roman" w:cs="Times New Roman"/>
          <w:szCs w:val="24"/>
        </w:rPr>
        <w:t xml:space="preserve"> participation of SMEs in regional and international supply chains</w:t>
      </w:r>
      <w:r w:rsidR="00A877E1">
        <w:rPr>
          <w:rFonts w:eastAsia="Times New Roman" w:cs="Times New Roman"/>
          <w:szCs w:val="24"/>
        </w:rPr>
        <w:t xml:space="preserve">, and to </w:t>
      </w:r>
      <w:r w:rsidRPr="004A4C6A">
        <w:rPr>
          <w:rFonts w:eastAsia="Times New Roman" w:cs="Times New Roman"/>
          <w:szCs w:val="24"/>
        </w:rPr>
        <w:t xml:space="preserve">support new </w:t>
      </w:r>
      <w:r w:rsidR="006239AF" w:rsidRPr="004A4C6A">
        <w:rPr>
          <w:rFonts w:eastAsia="Times New Roman" w:cs="Times New Roman"/>
          <w:szCs w:val="24"/>
        </w:rPr>
        <w:t xml:space="preserve">networking channels for developing </w:t>
      </w:r>
      <w:r w:rsidRPr="004A4C6A">
        <w:rPr>
          <w:rFonts w:eastAsia="Times New Roman" w:cs="Times New Roman"/>
          <w:szCs w:val="24"/>
        </w:rPr>
        <w:t xml:space="preserve">partnerships </w:t>
      </w:r>
      <w:r w:rsidR="006239AF" w:rsidRPr="004A4C6A">
        <w:rPr>
          <w:rFonts w:eastAsia="Times New Roman" w:cs="Times New Roman"/>
          <w:szCs w:val="24"/>
        </w:rPr>
        <w:t>(</w:t>
      </w:r>
      <w:r w:rsidRPr="004A4C6A">
        <w:rPr>
          <w:rFonts w:eastAsia="Times New Roman" w:cs="Times New Roman"/>
          <w:szCs w:val="24"/>
        </w:rPr>
        <w:t xml:space="preserve">between WB6 companies and </w:t>
      </w:r>
      <w:r w:rsidR="006239AF" w:rsidRPr="004A4C6A">
        <w:rPr>
          <w:rFonts w:eastAsia="Times New Roman" w:cs="Times New Roman"/>
          <w:szCs w:val="24"/>
        </w:rPr>
        <w:t xml:space="preserve">with </w:t>
      </w:r>
      <w:r w:rsidRPr="004A4C6A">
        <w:rPr>
          <w:rFonts w:eastAsia="Times New Roman" w:cs="Times New Roman"/>
          <w:szCs w:val="24"/>
        </w:rPr>
        <w:t>EU companies</w:t>
      </w:r>
      <w:r w:rsidR="006239AF" w:rsidRPr="004A4C6A">
        <w:rPr>
          <w:rFonts w:eastAsia="Times New Roman" w:cs="Times New Roman"/>
          <w:szCs w:val="24"/>
        </w:rPr>
        <w:t>)</w:t>
      </w:r>
    </w:p>
    <w:p w14:paraId="3EEF54D2" w14:textId="322E5752" w:rsidR="00060D56" w:rsidRPr="004A4C6A" w:rsidRDefault="00C80347" w:rsidP="004A4C6A">
      <w:pPr>
        <w:pStyle w:val="ListParagraph"/>
        <w:numPr>
          <w:ilvl w:val="0"/>
          <w:numId w:val="120"/>
        </w:numPr>
        <w:rPr>
          <w:rFonts w:cs="Times New Roman"/>
          <w:color w:val="0D0D0D" w:themeColor="text1" w:themeTint="F2"/>
          <w:sz w:val="20"/>
          <w:szCs w:val="20"/>
        </w:rPr>
      </w:pPr>
      <w:r w:rsidRPr="004A4C6A">
        <w:rPr>
          <w:rFonts w:eastAsia="Times New Roman" w:cs="Times New Roman"/>
          <w:szCs w:val="24"/>
        </w:rPr>
        <w:t>D</w:t>
      </w:r>
      <w:r w:rsidR="00294D36" w:rsidRPr="004A4C6A">
        <w:rPr>
          <w:rFonts w:eastAsia="Times New Roman" w:cs="Times New Roman"/>
          <w:szCs w:val="24"/>
        </w:rPr>
        <w:t>evelop</w:t>
      </w:r>
      <w:r w:rsidRPr="004A4C6A">
        <w:rPr>
          <w:rFonts w:eastAsia="Times New Roman" w:cs="Times New Roman"/>
          <w:szCs w:val="24"/>
        </w:rPr>
        <w:t xml:space="preserve"> and promote a WB</w:t>
      </w:r>
      <w:r w:rsidR="00FD793E" w:rsidRPr="004A4C6A">
        <w:rPr>
          <w:rFonts w:eastAsia="Times New Roman" w:cs="Times New Roman"/>
          <w:szCs w:val="24"/>
        </w:rPr>
        <w:t>s</w:t>
      </w:r>
      <w:r w:rsidRPr="004A4C6A">
        <w:rPr>
          <w:rFonts w:eastAsia="Times New Roman" w:cs="Times New Roman"/>
          <w:szCs w:val="24"/>
        </w:rPr>
        <w:t xml:space="preserve"> collective </w:t>
      </w:r>
      <w:proofErr w:type="gramStart"/>
      <w:r w:rsidRPr="004A4C6A">
        <w:rPr>
          <w:rFonts w:eastAsia="Times New Roman" w:cs="Times New Roman"/>
          <w:szCs w:val="24"/>
        </w:rPr>
        <w:t>trademark</w:t>
      </w:r>
      <w:proofErr w:type="gramEnd"/>
    </w:p>
    <w:p w14:paraId="6B7A8085" w14:textId="77777777" w:rsidR="00F11296" w:rsidRDefault="00F11296" w:rsidP="004A4C6A">
      <w:pPr>
        <w:pStyle w:val="ListParagraph"/>
        <w:rPr>
          <w:rFonts w:cs="Times New Roman"/>
          <w:color w:val="0D0D0D" w:themeColor="text1" w:themeTint="F2"/>
        </w:rPr>
      </w:pPr>
    </w:p>
    <w:p w14:paraId="314DE9E8" w14:textId="686F6B16" w:rsidR="00435630" w:rsidRDefault="00435630" w:rsidP="00435630">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6.1</w:t>
      </w:r>
    </w:p>
    <w:p w14:paraId="4B314A03" w14:textId="77777777" w:rsidR="000E35DC" w:rsidRDefault="000E35DC" w:rsidP="00435630">
      <w:pPr>
        <w:rPr>
          <w:rFonts w:cs="Times New Roman"/>
          <w:color w:val="0D0D0D" w:themeColor="text1" w:themeTint="F2"/>
        </w:rPr>
      </w:pPr>
    </w:p>
    <w:p w14:paraId="2BD0C5C8" w14:textId="63F58A6C" w:rsidR="00B558BF" w:rsidRDefault="00B55EFA" w:rsidP="00B558BF">
      <w:pPr>
        <w:pStyle w:val="ListParagraph"/>
        <w:numPr>
          <w:ilvl w:val="0"/>
          <w:numId w:val="120"/>
        </w:numPr>
        <w:rPr>
          <w:rFonts w:cs="Times New Roman"/>
          <w:color w:val="0D0D0D" w:themeColor="text1" w:themeTint="F2"/>
        </w:rPr>
      </w:pPr>
      <w:r>
        <w:rPr>
          <w:rFonts w:cs="Times New Roman"/>
          <w:color w:val="0D0D0D" w:themeColor="text1" w:themeTint="F2"/>
        </w:rPr>
        <w:t>Support connectivity</w:t>
      </w:r>
      <w:r w:rsidR="006D379C">
        <w:rPr>
          <w:rFonts w:cs="Times New Roman"/>
          <w:color w:val="0D0D0D" w:themeColor="text1" w:themeTint="F2"/>
        </w:rPr>
        <w:t xml:space="preserve"> both in roaming and </w:t>
      </w:r>
      <w:r w:rsidR="00154D15">
        <w:rPr>
          <w:rFonts w:cs="Times New Roman"/>
          <w:color w:val="0D0D0D" w:themeColor="text1" w:themeTint="F2"/>
        </w:rPr>
        <w:t xml:space="preserve">broadband </w:t>
      </w:r>
      <w:proofErr w:type="gramStart"/>
      <w:r w:rsidR="00154D15">
        <w:rPr>
          <w:rFonts w:cs="Times New Roman"/>
          <w:color w:val="0D0D0D" w:themeColor="text1" w:themeTint="F2"/>
        </w:rPr>
        <w:t>fie</w:t>
      </w:r>
      <w:r w:rsidR="00486C27">
        <w:rPr>
          <w:rFonts w:cs="Times New Roman"/>
          <w:color w:val="0D0D0D" w:themeColor="text1" w:themeTint="F2"/>
        </w:rPr>
        <w:t>lds</w:t>
      </w:r>
      <w:proofErr w:type="gramEnd"/>
      <w:r w:rsidR="00486C27">
        <w:rPr>
          <w:rFonts w:cs="Times New Roman"/>
          <w:color w:val="0D0D0D" w:themeColor="text1" w:themeTint="F2"/>
        </w:rPr>
        <w:t xml:space="preserve"> </w:t>
      </w:r>
    </w:p>
    <w:p w14:paraId="40728913" w14:textId="0A0AFBB3" w:rsidR="009B5CAE" w:rsidRPr="004A4C6A" w:rsidRDefault="002B1B3D" w:rsidP="004A4C6A">
      <w:pPr>
        <w:pStyle w:val="ListParagraph"/>
        <w:numPr>
          <w:ilvl w:val="0"/>
          <w:numId w:val="120"/>
        </w:numPr>
        <w:rPr>
          <w:rFonts w:cs="Times New Roman"/>
          <w:color w:val="0D0D0D" w:themeColor="text1" w:themeTint="F2"/>
        </w:rPr>
      </w:pPr>
      <w:r>
        <w:rPr>
          <w:rFonts w:cs="Times New Roman"/>
          <w:color w:val="0D0D0D" w:themeColor="text1" w:themeTint="F2"/>
        </w:rPr>
        <w:t>Support the e</w:t>
      </w:r>
      <w:r w:rsidR="009B5CAE" w:rsidRPr="009B5CAE">
        <w:rPr>
          <w:rFonts w:cs="Times New Roman"/>
          <w:color w:val="0D0D0D" w:themeColor="text1" w:themeTint="F2"/>
        </w:rPr>
        <w:t>nhance</w:t>
      </w:r>
      <w:r>
        <w:rPr>
          <w:rFonts w:cs="Times New Roman"/>
          <w:color w:val="0D0D0D" w:themeColor="text1" w:themeTint="F2"/>
        </w:rPr>
        <w:t>ment of</w:t>
      </w:r>
      <w:r w:rsidR="009B5CAE" w:rsidRPr="009B5CAE">
        <w:rPr>
          <w:rFonts w:cs="Times New Roman"/>
          <w:color w:val="0D0D0D" w:themeColor="text1" w:themeTint="F2"/>
        </w:rPr>
        <w:t xml:space="preserve"> citizens' understanding of new technologies and services and their </w:t>
      </w:r>
      <w:proofErr w:type="gramStart"/>
      <w:r w:rsidR="009B5CAE" w:rsidRPr="009B5CAE">
        <w:rPr>
          <w:rFonts w:cs="Times New Roman"/>
          <w:color w:val="0D0D0D" w:themeColor="text1" w:themeTint="F2"/>
        </w:rPr>
        <w:t>impact</w:t>
      </w:r>
      <w:proofErr w:type="gramEnd"/>
    </w:p>
    <w:p w14:paraId="2AAA78BC" w14:textId="77777777" w:rsidR="00FE63B2" w:rsidRDefault="00FE63B2" w:rsidP="00435630">
      <w:pPr>
        <w:rPr>
          <w:rFonts w:cs="Times New Roman"/>
          <w:color w:val="0D0D0D" w:themeColor="text1" w:themeTint="F2"/>
        </w:rPr>
      </w:pPr>
    </w:p>
    <w:p w14:paraId="25A3906E" w14:textId="43F1C240" w:rsidR="00435630" w:rsidRDefault="00435630" w:rsidP="00435630">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6.2</w:t>
      </w:r>
    </w:p>
    <w:p w14:paraId="2FC6FF7F" w14:textId="77777777" w:rsidR="000E35DC" w:rsidRDefault="000E35DC" w:rsidP="00435630">
      <w:pPr>
        <w:rPr>
          <w:rFonts w:cs="Times New Roman"/>
          <w:color w:val="0D0D0D" w:themeColor="text1" w:themeTint="F2"/>
        </w:rPr>
      </w:pPr>
    </w:p>
    <w:p w14:paraId="23C75E38" w14:textId="647E42AD" w:rsidR="002B1B3D" w:rsidRPr="004A4C6A" w:rsidRDefault="006A79A5" w:rsidP="004A4C6A">
      <w:pPr>
        <w:pStyle w:val="ListParagraph"/>
        <w:numPr>
          <w:ilvl w:val="0"/>
          <w:numId w:val="120"/>
        </w:numPr>
        <w:rPr>
          <w:rFonts w:cs="Times New Roman"/>
          <w:color w:val="0D0D0D" w:themeColor="text1" w:themeTint="F2"/>
        </w:rPr>
      </w:pPr>
      <w:r>
        <w:rPr>
          <w:rFonts w:cs="Times New Roman"/>
          <w:color w:val="0D0D0D" w:themeColor="text1" w:themeTint="F2"/>
        </w:rPr>
        <w:t xml:space="preserve">Support the development of a digital economy in the region, including </w:t>
      </w:r>
      <w:proofErr w:type="gramStart"/>
      <w:r w:rsidR="00A865B5">
        <w:rPr>
          <w:rFonts w:cs="Times New Roman"/>
          <w:color w:val="0D0D0D" w:themeColor="text1" w:themeTint="F2"/>
        </w:rPr>
        <w:t>interoperability</w:t>
      </w:r>
      <w:proofErr w:type="gramEnd"/>
    </w:p>
    <w:p w14:paraId="3553F366" w14:textId="77777777" w:rsidR="00FE63B2" w:rsidRDefault="00FE63B2" w:rsidP="00435630">
      <w:pPr>
        <w:rPr>
          <w:rFonts w:cs="Times New Roman"/>
          <w:color w:val="0D0D0D" w:themeColor="text1" w:themeTint="F2"/>
        </w:rPr>
      </w:pPr>
    </w:p>
    <w:p w14:paraId="4A97A221" w14:textId="1097DF54" w:rsidR="00435630" w:rsidRDefault="00435630" w:rsidP="00435630">
      <w:pPr>
        <w:rPr>
          <w:rFonts w:cs="Times New Roman"/>
          <w:color w:val="0D0D0D" w:themeColor="text1" w:themeTint="F2"/>
        </w:rPr>
      </w:pPr>
      <w:r w:rsidRPr="00B708B6">
        <w:rPr>
          <w:rFonts w:cs="Times New Roman"/>
          <w:color w:val="0D0D0D" w:themeColor="text1" w:themeTint="F2"/>
        </w:rPr>
        <w:t xml:space="preserve">Activities related to Output </w:t>
      </w:r>
      <w:r>
        <w:rPr>
          <w:rFonts w:cs="Times New Roman"/>
          <w:color w:val="0D0D0D" w:themeColor="text1" w:themeTint="F2"/>
        </w:rPr>
        <w:t>6.3</w:t>
      </w:r>
    </w:p>
    <w:p w14:paraId="1405715C" w14:textId="77777777" w:rsidR="000E35DC" w:rsidRPr="00B708B6" w:rsidRDefault="000E35DC" w:rsidP="00435630">
      <w:pPr>
        <w:rPr>
          <w:rFonts w:cs="Times New Roman"/>
          <w:color w:val="0D0D0D" w:themeColor="text1" w:themeTint="F2"/>
        </w:rPr>
      </w:pPr>
    </w:p>
    <w:p w14:paraId="02FF3612" w14:textId="36D8ACF2" w:rsidR="00435630" w:rsidRPr="00FE63B2" w:rsidRDefault="00941AB0" w:rsidP="004A4C6A">
      <w:pPr>
        <w:pStyle w:val="ListParagraph"/>
        <w:numPr>
          <w:ilvl w:val="0"/>
          <w:numId w:val="120"/>
        </w:numPr>
        <w:rPr>
          <w:rFonts w:cs="Times New Roman"/>
          <w:color w:val="0D0D0D" w:themeColor="text1" w:themeTint="F2"/>
        </w:rPr>
      </w:pPr>
      <w:r>
        <w:rPr>
          <w:rFonts w:cs="Times New Roman"/>
          <w:color w:val="0D0D0D" w:themeColor="text1" w:themeTint="F2"/>
        </w:rPr>
        <w:t xml:space="preserve">Support the region </w:t>
      </w:r>
      <w:r w:rsidR="00337A29">
        <w:rPr>
          <w:rFonts w:cs="Times New Roman"/>
          <w:color w:val="0D0D0D" w:themeColor="text1" w:themeTint="F2"/>
        </w:rPr>
        <w:t>on cybersecurit</w:t>
      </w:r>
      <w:r w:rsidR="00EA0362">
        <w:rPr>
          <w:rFonts w:cs="Times New Roman"/>
          <w:color w:val="0D0D0D" w:themeColor="text1" w:themeTint="F2"/>
        </w:rPr>
        <w:t xml:space="preserve">y, increasing their resilience to external attacks through </w:t>
      </w:r>
      <w:r w:rsidR="00CC4388">
        <w:rPr>
          <w:rFonts w:cs="Times New Roman"/>
          <w:color w:val="0D0D0D" w:themeColor="text1" w:themeTint="F2"/>
        </w:rPr>
        <w:t>reinforced skills</w:t>
      </w:r>
      <w:r w:rsidR="005817FD">
        <w:rPr>
          <w:rFonts w:cs="Times New Roman"/>
          <w:color w:val="0D0D0D" w:themeColor="text1" w:themeTint="F2"/>
        </w:rPr>
        <w:t xml:space="preserve"> and shared experiences an</w:t>
      </w:r>
      <w:r w:rsidR="00575B2F">
        <w:rPr>
          <w:rFonts w:cs="Times New Roman"/>
          <w:color w:val="0D0D0D" w:themeColor="text1" w:themeTint="F2"/>
        </w:rPr>
        <w:t>d good practices.</w:t>
      </w:r>
    </w:p>
    <w:p w14:paraId="61437EA1" w14:textId="77777777" w:rsidR="002E5AE9" w:rsidRDefault="002E5AE9" w:rsidP="002E5AE9"/>
    <w:p w14:paraId="5A247448" w14:textId="77777777" w:rsidR="00C60BF9" w:rsidRPr="003C0CD7" w:rsidRDefault="00C60BF9" w:rsidP="00C60BF9">
      <w:pPr>
        <w:pStyle w:val="Heading1"/>
        <w:numPr>
          <w:ilvl w:val="1"/>
          <w:numId w:val="1"/>
        </w:numPr>
      </w:pPr>
      <w:bookmarkStart w:id="200" w:name="_Toc47101961"/>
      <w:bookmarkStart w:id="201" w:name="_Toc51270456"/>
      <w:bookmarkStart w:id="202" w:name="_Ref58597072"/>
      <w:bookmarkStart w:id="203" w:name="_Toc73090754"/>
      <w:bookmarkStart w:id="204" w:name="_Toc47101960"/>
      <w:bookmarkStart w:id="205" w:name="_Toc51270455"/>
      <w:bookmarkStart w:id="206" w:name="_Ref58425507"/>
      <w:r w:rsidRPr="003C0CD7">
        <w:t>Mainstreaming</w:t>
      </w:r>
      <w:bookmarkEnd w:id="200"/>
      <w:bookmarkEnd w:id="201"/>
      <w:bookmarkEnd w:id="202"/>
      <w:bookmarkEnd w:id="203"/>
      <w:r w:rsidRPr="003C0CD7">
        <w:t xml:space="preserve"> </w:t>
      </w:r>
    </w:p>
    <w:p w14:paraId="55E75344" w14:textId="77777777" w:rsidR="00C60BF9" w:rsidRDefault="00C60BF9" w:rsidP="00C60BF9">
      <w:pPr>
        <w:ind w:firstLine="720"/>
        <w:rPr>
          <w:rFonts w:cs="Times New Roman"/>
          <w:b/>
          <w:color w:val="0D0D0D" w:themeColor="text1" w:themeTint="F2"/>
          <w:szCs w:val="24"/>
        </w:rPr>
      </w:pPr>
      <w:r w:rsidRPr="003C0CD7">
        <w:rPr>
          <w:rFonts w:cs="Times New Roman"/>
          <w:b/>
          <w:color w:val="0D0D0D" w:themeColor="text1" w:themeTint="F2"/>
          <w:szCs w:val="24"/>
        </w:rPr>
        <w:t>Environmental Protection, Climate Change and Biodiversity</w:t>
      </w:r>
    </w:p>
    <w:p w14:paraId="267239DC" w14:textId="77777777" w:rsidR="0006347F" w:rsidRPr="003C0CD7" w:rsidRDefault="0006347F" w:rsidP="00C60BF9">
      <w:pPr>
        <w:ind w:firstLine="720"/>
        <w:rPr>
          <w:rFonts w:cs="Times New Roman"/>
          <w:b/>
          <w:color w:val="0D0D0D" w:themeColor="text1" w:themeTint="F2"/>
          <w:szCs w:val="24"/>
        </w:rPr>
      </w:pPr>
    </w:p>
    <w:p w14:paraId="62CB57FF" w14:textId="43B0DE50" w:rsidR="006645E3" w:rsidRPr="006645E3" w:rsidRDefault="006645E3" w:rsidP="006645E3">
      <w:pPr>
        <w:rPr>
          <w:rFonts w:cs="Times New Roman"/>
          <w:color w:val="0D0D0D" w:themeColor="text1" w:themeTint="F2"/>
          <w:szCs w:val="24"/>
        </w:rPr>
      </w:pPr>
      <w:r w:rsidRPr="006645E3">
        <w:rPr>
          <w:rFonts w:cs="Times New Roman"/>
          <w:color w:val="0D0D0D" w:themeColor="text1" w:themeTint="F2"/>
          <w:szCs w:val="24"/>
        </w:rPr>
        <w:t xml:space="preserve">At this stage no Strategic Environmental Assessment, Environmental Impact Assessment or Climate Risk Assessment </w:t>
      </w:r>
      <w:r w:rsidR="00967BC5">
        <w:rPr>
          <w:rFonts w:cs="Times New Roman"/>
          <w:color w:val="0D0D0D" w:themeColor="text1" w:themeTint="F2"/>
          <w:szCs w:val="24"/>
        </w:rPr>
        <w:t>are</w:t>
      </w:r>
      <w:r w:rsidRPr="006645E3">
        <w:rPr>
          <w:rFonts w:cs="Times New Roman"/>
          <w:color w:val="0D0D0D" w:themeColor="text1" w:themeTint="F2"/>
          <w:szCs w:val="24"/>
        </w:rPr>
        <w:t xml:space="preserve"> required since the support will involve mostly non-physical work (i.e. no new infrastructure). On top of strategic objective to get the Western Balkans to European environment standards and to implement their Green Agenda, the action brings also concrete and pragmatic environmental wins. The digital component of the action should </w:t>
      </w:r>
      <w:r w:rsidR="000C6778">
        <w:rPr>
          <w:rFonts w:cs="Times New Roman"/>
          <w:color w:val="0D0D0D" w:themeColor="text1" w:themeTint="F2"/>
          <w:szCs w:val="24"/>
        </w:rPr>
        <w:t>promote smart solutions</w:t>
      </w:r>
      <w:r w:rsidRPr="006645E3">
        <w:rPr>
          <w:rFonts w:cs="Times New Roman"/>
          <w:color w:val="0D0D0D" w:themeColor="text1" w:themeTint="F2"/>
          <w:szCs w:val="24"/>
        </w:rPr>
        <w:t xml:space="preserve"> for </w:t>
      </w:r>
      <w:r w:rsidR="000C6778">
        <w:rPr>
          <w:rFonts w:cs="Times New Roman"/>
          <w:color w:val="0D0D0D" w:themeColor="text1" w:themeTint="F2"/>
          <w:szCs w:val="24"/>
        </w:rPr>
        <w:t>trade</w:t>
      </w:r>
      <w:r w:rsidRPr="006645E3">
        <w:rPr>
          <w:rFonts w:cs="Times New Roman"/>
          <w:color w:val="0D0D0D" w:themeColor="text1" w:themeTint="F2"/>
          <w:szCs w:val="24"/>
        </w:rPr>
        <w:t xml:space="preserve"> and </w:t>
      </w:r>
      <w:r w:rsidR="000C6778">
        <w:rPr>
          <w:rFonts w:cs="Times New Roman"/>
          <w:color w:val="0D0D0D" w:themeColor="text1" w:themeTint="F2"/>
          <w:szCs w:val="24"/>
        </w:rPr>
        <w:t>logistics thereby r</w:t>
      </w:r>
      <w:r w:rsidRPr="006645E3">
        <w:rPr>
          <w:rFonts w:cs="Times New Roman"/>
          <w:color w:val="0D0D0D" w:themeColor="text1" w:themeTint="F2"/>
          <w:szCs w:val="24"/>
        </w:rPr>
        <w:t>educ</w:t>
      </w:r>
      <w:r w:rsidR="000C6778">
        <w:rPr>
          <w:rFonts w:cs="Times New Roman"/>
          <w:color w:val="0D0D0D" w:themeColor="text1" w:themeTint="F2"/>
          <w:szCs w:val="24"/>
        </w:rPr>
        <w:t>ing</w:t>
      </w:r>
      <w:r w:rsidRPr="006645E3">
        <w:rPr>
          <w:rFonts w:cs="Times New Roman"/>
          <w:color w:val="0D0D0D" w:themeColor="text1" w:themeTint="F2"/>
          <w:szCs w:val="24"/>
        </w:rPr>
        <w:t xml:space="preserve"> carbon emissions. Consultation, </w:t>
      </w:r>
      <w:proofErr w:type="gramStart"/>
      <w:r w:rsidRPr="006645E3">
        <w:rPr>
          <w:rFonts w:cs="Times New Roman"/>
          <w:color w:val="0D0D0D" w:themeColor="text1" w:themeTint="F2"/>
          <w:szCs w:val="24"/>
        </w:rPr>
        <w:t>workshops</w:t>
      </w:r>
      <w:proofErr w:type="gramEnd"/>
      <w:r w:rsidRPr="006645E3">
        <w:rPr>
          <w:rFonts w:cs="Times New Roman"/>
          <w:color w:val="0D0D0D" w:themeColor="text1" w:themeTint="F2"/>
          <w:szCs w:val="24"/>
        </w:rPr>
        <w:t xml:space="preserve"> and meetings organised at regional level should alternate in person and virtual modalities in order to reduce air and road transport </w:t>
      </w:r>
      <w:r w:rsidR="00EF65EA">
        <w:rPr>
          <w:rFonts w:cs="Times New Roman"/>
          <w:color w:val="0D0D0D" w:themeColor="text1" w:themeTint="F2"/>
          <w:szCs w:val="24"/>
        </w:rPr>
        <w:t xml:space="preserve">emissions </w:t>
      </w:r>
      <w:r w:rsidRPr="006645E3">
        <w:rPr>
          <w:rFonts w:cs="Times New Roman"/>
          <w:color w:val="0D0D0D" w:themeColor="text1" w:themeTint="F2"/>
          <w:szCs w:val="24"/>
        </w:rPr>
        <w:t xml:space="preserve">of participants. Progress </w:t>
      </w:r>
      <w:proofErr w:type="gramStart"/>
      <w:r w:rsidRPr="006645E3">
        <w:rPr>
          <w:rFonts w:cs="Times New Roman"/>
          <w:color w:val="0D0D0D" w:themeColor="text1" w:themeTint="F2"/>
          <w:szCs w:val="24"/>
        </w:rPr>
        <w:t>in the area of</w:t>
      </w:r>
      <w:proofErr w:type="gramEnd"/>
      <w:r w:rsidRPr="006645E3">
        <w:rPr>
          <w:rFonts w:cs="Times New Roman"/>
          <w:color w:val="0D0D0D" w:themeColor="text1" w:themeTint="F2"/>
          <w:szCs w:val="24"/>
        </w:rPr>
        <w:t xml:space="preserve"> mutual recognition can simplify testing procedures for economic operators and limit unnecessary transactions and shipments. The action foresees activities relating to phytosanitary inspections, controls, contingency </w:t>
      </w:r>
      <w:proofErr w:type="gramStart"/>
      <w:r w:rsidRPr="006645E3">
        <w:rPr>
          <w:rFonts w:cs="Times New Roman"/>
          <w:color w:val="0D0D0D" w:themeColor="text1" w:themeTint="F2"/>
          <w:szCs w:val="24"/>
        </w:rPr>
        <w:t>plans</w:t>
      </w:r>
      <w:proofErr w:type="gramEnd"/>
      <w:r w:rsidRPr="006645E3">
        <w:rPr>
          <w:rFonts w:cs="Times New Roman"/>
          <w:color w:val="0D0D0D" w:themeColor="text1" w:themeTint="F2"/>
          <w:szCs w:val="24"/>
        </w:rPr>
        <w:t xml:space="preserve"> and food safety measures. This in turn contributes to preserving biodiversity in Western Balkans (</w:t>
      </w:r>
      <w:proofErr w:type="gramStart"/>
      <w:r w:rsidRPr="006645E3">
        <w:rPr>
          <w:rFonts w:cs="Times New Roman"/>
          <w:color w:val="0D0D0D" w:themeColor="text1" w:themeTint="F2"/>
          <w:szCs w:val="24"/>
        </w:rPr>
        <w:t>and also</w:t>
      </w:r>
      <w:proofErr w:type="gramEnd"/>
      <w:r w:rsidRPr="006645E3">
        <w:rPr>
          <w:rFonts w:cs="Times New Roman"/>
          <w:color w:val="0D0D0D" w:themeColor="text1" w:themeTint="F2"/>
          <w:szCs w:val="24"/>
        </w:rPr>
        <w:t xml:space="preserve"> on the EU market through safer imports) thanks to the detection and eradication of pests.   </w:t>
      </w:r>
    </w:p>
    <w:p w14:paraId="2DFBCAA6" w14:textId="77777777" w:rsidR="006645E3" w:rsidRPr="006645E3" w:rsidRDefault="006645E3" w:rsidP="006645E3">
      <w:pPr>
        <w:rPr>
          <w:rFonts w:cs="Times New Roman"/>
          <w:color w:val="0D0D0D" w:themeColor="text1" w:themeTint="F2"/>
          <w:szCs w:val="24"/>
        </w:rPr>
      </w:pPr>
    </w:p>
    <w:p w14:paraId="2F9A0332" w14:textId="73EA6165" w:rsidR="006645E3" w:rsidRPr="006645E3" w:rsidRDefault="006645E3" w:rsidP="006645E3">
      <w:pPr>
        <w:rPr>
          <w:rFonts w:cs="Times New Roman"/>
          <w:color w:val="0D0D0D" w:themeColor="text1" w:themeTint="F2"/>
          <w:szCs w:val="24"/>
        </w:rPr>
      </w:pPr>
      <w:r w:rsidRPr="006645E3">
        <w:rPr>
          <w:rFonts w:cs="Times New Roman"/>
          <w:color w:val="0D0D0D" w:themeColor="text1" w:themeTint="F2"/>
          <w:szCs w:val="24"/>
        </w:rPr>
        <w:t xml:space="preserve">The increase in trade flows presents the risk of generating additional carbon emissions through the movement of consignments but this should be mitigated by the development of </w:t>
      </w:r>
      <w:r w:rsidR="005057E2">
        <w:rPr>
          <w:rFonts w:cs="Times New Roman"/>
          <w:color w:val="0D0D0D" w:themeColor="text1" w:themeTint="F2"/>
          <w:szCs w:val="24"/>
        </w:rPr>
        <w:t xml:space="preserve">sustainable </w:t>
      </w:r>
      <w:r w:rsidRPr="006645E3">
        <w:rPr>
          <w:rFonts w:cs="Times New Roman"/>
          <w:color w:val="0D0D0D" w:themeColor="text1" w:themeTint="F2"/>
          <w:szCs w:val="24"/>
        </w:rPr>
        <w:t>transport infrastructures in line with the Green Agenda for Western Balkans.</w:t>
      </w:r>
    </w:p>
    <w:p w14:paraId="4279542E" w14:textId="77777777" w:rsidR="006645E3" w:rsidRPr="006645E3" w:rsidRDefault="006645E3" w:rsidP="006645E3">
      <w:pPr>
        <w:rPr>
          <w:rFonts w:cs="Times New Roman"/>
          <w:color w:val="0D0D0D" w:themeColor="text1" w:themeTint="F2"/>
          <w:szCs w:val="24"/>
        </w:rPr>
      </w:pPr>
      <w:r w:rsidRPr="006645E3">
        <w:rPr>
          <w:rFonts w:cs="Times New Roman"/>
          <w:color w:val="0D0D0D" w:themeColor="text1" w:themeTint="F2"/>
          <w:szCs w:val="24"/>
        </w:rPr>
        <w:t xml:space="preserve"> </w:t>
      </w:r>
    </w:p>
    <w:p w14:paraId="564D64B3" w14:textId="2D40551C" w:rsidR="00CC6CBF" w:rsidRDefault="006645E3" w:rsidP="00C60BF9">
      <w:pPr>
        <w:rPr>
          <w:rFonts w:cs="Times New Roman"/>
          <w:color w:val="0D0D0D" w:themeColor="text1" w:themeTint="F2"/>
          <w:szCs w:val="24"/>
        </w:rPr>
      </w:pPr>
      <w:r w:rsidRPr="006645E3">
        <w:rPr>
          <w:rFonts w:cs="Times New Roman"/>
          <w:color w:val="0D0D0D" w:themeColor="text1" w:themeTint="F2"/>
          <w:szCs w:val="24"/>
        </w:rPr>
        <w:t xml:space="preserve">Stakeholders of the action should also promote the development of regional trade in a way that it contributes </w:t>
      </w:r>
      <w:r w:rsidR="00F22D6A">
        <w:rPr>
          <w:rFonts w:cs="Times New Roman"/>
          <w:color w:val="0D0D0D" w:themeColor="text1" w:themeTint="F2"/>
          <w:szCs w:val="24"/>
        </w:rPr>
        <w:t xml:space="preserve">to </w:t>
      </w:r>
      <w:r w:rsidRPr="006645E3">
        <w:rPr>
          <w:rFonts w:cs="Times New Roman"/>
          <w:color w:val="0D0D0D" w:themeColor="text1" w:themeTint="F2"/>
          <w:szCs w:val="24"/>
        </w:rPr>
        <w:t xml:space="preserve">sustainable development objectives by preserving the environment and climate change through the </w:t>
      </w:r>
      <w:r w:rsidRPr="006645E3">
        <w:rPr>
          <w:rFonts w:cs="Times New Roman"/>
          <w:color w:val="0D0D0D" w:themeColor="text1" w:themeTint="F2"/>
          <w:szCs w:val="24"/>
        </w:rPr>
        <w:lastRenderedPageBreak/>
        <w:t>promotion of a green and circular economy and the adoption of product standards with higher environmental requirements as targeted by the Green Agenda for the Western Balkans and European Standards. The programme is an opportunity to sensitise economic stakeholders on the Paris Agreement, their own nationally determined contributions, Montreal-Kunming Global Biodiversity Framework.</w:t>
      </w:r>
    </w:p>
    <w:p w14:paraId="5DADF61C" w14:textId="77777777" w:rsidR="00CC6CBF" w:rsidRPr="003C0CD7" w:rsidRDefault="00CC6CBF" w:rsidP="00C60BF9">
      <w:pPr>
        <w:rPr>
          <w:rFonts w:cs="Times New Roman"/>
          <w:color w:val="0D0D0D" w:themeColor="text1" w:themeTint="F2"/>
          <w:szCs w:val="24"/>
        </w:rPr>
      </w:pPr>
    </w:p>
    <w:p w14:paraId="4D706774" w14:textId="77777777" w:rsidR="00C60BF9" w:rsidRDefault="00C60BF9" w:rsidP="00C60BF9">
      <w:pPr>
        <w:ind w:firstLine="720"/>
        <w:rPr>
          <w:rFonts w:cs="Times New Roman"/>
          <w:b/>
          <w:color w:val="0D0D0D" w:themeColor="text1" w:themeTint="F2"/>
          <w:szCs w:val="24"/>
        </w:rPr>
      </w:pPr>
      <w:r w:rsidRPr="003C0CD7">
        <w:rPr>
          <w:rFonts w:cs="Times New Roman"/>
          <w:b/>
          <w:color w:val="0D0D0D" w:themeColor="text1" w:themeTint="F2"/>
          <w:szCs w:val="24"/>
        </w:rPr>
        <w:t>Gender equality and empowerment of women and girls</w:t>
      </w:r>
    </w:p>
    <w:p w14:paraId="6C3D9F2F" w14:textId="77777777" w:rsidR="0006347F" w:rsidRPr="003C0CD7" w:rsidRDefault="0006347F" w:rsidP="00C60BF9">
      <w:pPr>
        <w:ind w:firstLine="720"/>
        <w:rPr>
          <w:rFonts w:cs="Times New Roman"/>
          <w:b/>
          <w:color w:val="0D0D0D" w:themeColor="text1" w:themeTint="F2"/>
          <w:szCs w:val="24"/>
        </w:rPr>
      </w:pPr>
    </w:p>
    <w:p w14:paraId="7807DA04" w14:textId="1C87A765" w:rsidR="00EB2C03" w:rsidRPr="00EB2C03" w:rsidRDefault="00C60BF9" w:rsidP="00EB2C03">
      <w:pPr>
        <w:rPr>
          <w:color w:val="0D0D0D"/>
          <w:szCs w:val="24"/>
        </w:rPr>
      </w:pPr>
      <w:r w:rsidRPr="003C0CD7">
        <w:rPr>
          <w:szCs w:val="24"/>
        </w:rPr>
        <w:t xml:space="preserve">As per OECD Gender DAC codes identified in section 1.1, this action is labelled as </w:t>
      </w:r>
      <w:r w:rsidRPr="004A4C6A">
        <w:rPr>
          <w:szCs w:val="24"/>
        </w:rPr>
        <w:t>G1</w:t>
      </w:r>
      <w:r w:rsidRPr="003C0CD7">
        <w:rPr>
          <w:szCs w:val="24"/>
        </w:rPr>
        <w:t>. This implies that</w:t>
      </w:r>
      <w:r w:rsidR="00D15B85">
        <w:rPr>
          <w:color w:val="0D0D0D"/>
          <w:szCs w:val="24"/>
        </w:rPr>
        <w:t xml:space="preserve"> </w:t>
      </w:r>
      <w:r w:rsidR="00EB2C03" w:rsidRPr="00EB2C03">
        <w:rPr>
          <w:color w:val="0D0D0D"/>
          <w:szCs w:val="24"/>
        </w:rPr>
        <w:t>in line with the approach outlined in the EU Gender Action Plan, (GAP III) 2021-2025, the action will mainstream gender equality whenever possible.</w:t>
      </w:r>
    </w:p>
    <w:p w14:paraId="6043C79C" w14:textId="77777777" w:rsidR="00EB2C03" w:rsidRPr="00EB2C03" w:rsidRDefault="00EB2C03" w:rsidP="00EB2C03">
      <w:pPr>
        <w:rPr>
          <w:color w:val="0D0D0D"/>
          <w:szCs w:val="24"/>
        </w:rPr>
      </w:pPr>
    </w:p>
    <w:p w14:paraId="234D84C4" w14:textId="0B7D33D6" w:rsidR="00EB2C03" w:rsidRPr="00EB2C03" w:rsidRDefault="00EB2C03" w:rsidP="00EB2C03">
      <w:pPr>
        <w:rPr>
          <w:color w:val="0D0D0D"/>
          <w:szCs w:val="24"/>
        </w:rPr>
      </w:pPr>
      <w:r w:rsidRPr="00EB2C03">
        <w:rPr>
          <w:color w:val="0D0D0D"/>
          <w:szCs w:val="24"/>
        </w:rPr>
        <w:t xml:space="preserve">As the voice of the private sector, chambers of commerce can play a vital role in shaping policies and partnerships, in overseeing their implementation, and in promoting a gender responsive policy in the region. Cluster cooperation and networking of women and youth can be promoted through the support services offered to SMEs in niche markets. Activities carried-out under </w:t>
      </w:r>
      <w:r w:rsidR="00D858FA">
        <w:rPr>
          <w:color w:val="0D0D0D"/>
          <w:szCs w:val="24"/>
        </w:rPr>
        <w:t>outcome 5 ‘strengthening of the business environment’</w:t>
      </w:r>
      <w:r w:rsidRPr="00EB2C03">
        <w:rPr>
          <w:color w:val="0D0D0D"/>
          <w:szCs w:val="24"/>
        </w:rPr>
        <w:t xml:space="preserve"> will ensure that specific needs of women entrepreneurs are addressed specifically though workshops and panel discussions. </w:t>
      </w:r>
    </w:p>
    <w:p w14:paraId="6FEB058D" w14:textId="77777777" w:rsidR="00EB2C03" w:rsidRPr="00EB2C03" w:rsidRDefault="00EB2C03" w:rsidP="00EB2C03">
      <w:pPr>
        <w:rPr>
          <w:color w:val="0D0D0D"/>
          <w:szCs w:val="24"/>
        </w:rPr>
      </w:pPr>
    </w:p>
    <w:p w14:paraId="2640F4D3" w14:textId="33F75BA3" w:rsidR="00EB2C03" w:rsidRPr="00EB2C03" w:rsidRDefault="00EB2C03" w:rsidP="00EB2C03">
      <w:pPr>
        <w:rPr>
          <w:color w:val="0D0D0D"/>
          <w:szCs w:val="24"/>
        </w:rPr>
      </w:pPr>
      <w:r w:rsidRPr="00EB2C03">
        <w:rPr>
          <w:color w:val="0D0D0D"/>
          <w:szCs w:val="24"/>
        </w:rPr>
        <w:t xml:space="preserve">As part of the monitoring of indicators linked to activities implemented under </w:t>
      </w:r>
      <w:r w:rsidR="009A796F">
        <w:rPr>
          <w:color w:val="0D0D0D"/>
          <w:szCs w:val="24"/>
        </w:rPr>
        <w:t>outcome</w:t>
      </w:r>
      <w:r w:rsidR="009D6C60">
        <w:rPr>
          <w:color w:val="0D0D0D"/>
          <w:szCs w:val="24"/>
        </w:rPr>
        <w:t xml:space="preserve"> 3 ‘strengthening horizontal trade measures’</w:t>
      </w:r>
      <w:r w:rsidR="009A796F">
        <w:rPr>
          <w:color w:val="0D0D0D"/>
          <w:szCs w:val="24"/>
        </w:rPr>
        <w:t>,</w:t>
      </w:r>
      <w:r w:rsidRPr="00EB2C03">
        <w:rPr>
          <w:color w:val="0D0D0D"/>
          <w:szCs w:val="24"/>
        </w:rPr>
        <w:t xml:space="preserve"> data should be collected and presented as much as possible disaggregated by sex and reflect gender issues. Indeed</w:t>
      </w:r>
      <w:r w:rsidR="005E3CCB">
        <w:rPr>
          <w:color w:val="0D0D0D"/>
          <w:szCs w:val="24"/>
        </w:rPr>
        <w:t>,</w:t>
      </w:r>
      <w:r w:rsidRPr="00EB2C03">
        <w:rPr>
          <w:color w:val="0D0D0D"/>
          <w:szCs w:val="24"/>
        </w:rPr>
        <w:t xml:space="preserve"> statistics provide the basis for evidence-based policy development and monitoring and evaluation of their implementation. </w:t>
      </w:r>
    </w:p>
    <w:p w14:paraId="24FD0D35" w14:textId="77777777" w:rsidR="00EB2C03" w:rsidRPr="00EB2C03" w:rsidRDefault="00EB2C03" w:rsidP="00EB2C03">
      <w:pPr>
        <w:rPr>
          <w:color w:val="0D0D0D"/>
          <w:szCs w:val="24"/>
        </w:rPr>
      </w:pPr>
    </w:p>
    <w:p w14:paraId="1AF079D5" w14:textId="2503FD97" w:rsidR="00EB2C03" w:rsidRPr="00EB2C03" w:rsidRDefault="00EB2C03" w:rsidP="00EB2C03">
      <w:pPr>
        <w:rPr>
          <w:color w:val="0D0D0D"/>
          <w:szCs w:val="24"/>
        </w:rPr>
      </w:pPr>
      <w:proofErr w:type="gramStart"/>
      <w:r w:rsidRPr="00EB2C03">
        <w:rPr>
          <w:color w:val="0D0D0D"/>
          <w:szCs w:val="24"/>
        </w:rPr>
        <w:t>Overall</w:t>
      </w:r>
      <w:proofErr w:type="gramEnd"/>
      <w:r w:rsidRPr="00EB2C03">
        <w:rPr>
          <w:color w:val="0D0D0D"/>
          <w:szCs w:val="24"/>
        </w:rPr>
        <w:t xml:space="preserve"> the contracts deriving from this action should be designed in a way to mainstream gender equality and enable better delivery of services to the vulnerable populations. This could particularly be applied when supporting customs and trade procedures reforms </w:t>
      </w:r>
      <w:proofErr w:type="gramStart"/>
      <w:r w:rsidRPr="00EB2C03">
        <w:rPr>
          <w:color w:val="0D0D0D"/>
          <w:szCs w:val="24"/>
        </w:rPr>
        <w:t>in order to</w:t>
      </w:r>
      <w:proofErr w:type="gramEnd"/>
      <w:r w:rsidRPr="00EB2C03">
        <w:rPr>
          <w:color w:val="0D0D0D"/>
          <w:szCs w:val="24"/>
        </w:rPr>
        <w:t xml:space="preserve"> combat gender stereotypes and promote the reporting of offenses. </w:t>
      </w:r>
    </w:p>
    <w:p w14:paraId="2FB75183" w14:textId="3DE62798" w:rsidR="00C60BF9" w:rsidRPr="003C0CD7" w:rsidRDefault="00C60BF9" w:rsidP="00C60BF9">
      <w:pPr>
        <w:rPr>
          <w:color w:val="0D0D0D"/>
          <w:szCs w:val="24"/>
        </w:rPr>
      </w:pPr>
    </w:p>
    <w:p w14:paraId="09E64B7A" w14:textId="1CECE1AE" w:rsidR="00C60BF9" w:rsidRDefault="00C60BF9" w:rsidP="00C60BF9">
      <w:pPr>
        <w:ind w:firstLine="720"/>
        <w:rPr>
          <w:rFonts w:cs="Times New Roman"/>
          <w:color w:val="0D0D0D" w:themeColor="text1" w:themeTint="F2"/>
        </w:rPr>
      </w:pPr>
      <w:r w:rsidRPr="003C0CD7">
        <w:rPr>
          <w:rFonts w:cs="Times New Roman"/>
          <w:b/>
          <w:color w:val="0D0D0D" w:themeColor="text1" w:themeTint="F2"/>
        </w:rPr>
        <w:t>Democracy</w:t>
      </w:r>
    </w:p>
    <w:p w14:paraId="62EA4403" w14:textId="77777777" w:rsidR="0006347F" w:rsidRPr="003C0CD7" w:rsidRDefault="0006347F" w:rsidP="00C60BF9">
      <w:pPr>
        <w:ind w:firstLine="720"/>
        <w:rPr>
          <w:rFonts w:cs="Times New Roman"/>
          <w:color w:val="0D0D0D" w:themeColor="text1" w:themeTint="F2"/>
        </w:rPr>
      </w:pPr>
    </w:p>
    <w:p w14:paraId="504005E0" w14:textId="40CF9288" w:rsidR="00C60BF9" w:rsidRPr="003C0CD7" w:rsidRDefault="006E009C" w:rsidP="00C60BF9">
      <w:pPr>
        <w:rPr>
          <w:rFonts w:cs="Times New Roman"/>
          <w:color w:val="0D0D0D" w:themeColor="text1" w:themeTint="F2"/>
        </w:rPr>
      </w:pPr>
      <w:r>
        <w:rPr>
          <w:rFonts w:cs="Times New Roman"/>
          <w:color w:val="0D0D0D" w:themeColor="text1" w:themeTint="F2"/>
        </w:rPr>
        <w:t xml:space="preserve">Promoting the democratic consolidation of </w:t>
      </w:r>
      <w:r w:rsidR="00A21735">
        <w:rPr>
          <w:rFonts w:cs="Times New Roman"/>
          <w:color w:val="0D0D0D" w:themeColor="text1" w:themeTint="F2"/>
        </w:rPr>
        <w:t>the Western Balkan</w:t>
      </w:r>
      <w:r w:rsidR="002B445A">
        <w:rPr>
          <w:rFonts w:cs="Times New Roman"/>
          <w:color w:val="0D0D0D" w:themeColor="text1" w:themeTint="F2"/>
        </w:rPr>
        <w:t>s</w:t>
      </w:r>
      <w:r w:rsidR="00A21735">
        <w:rPr>
          <w:rFonts w:cs="Times New Roman"/>
          <w:color w:val="0D0D0D" w:themeColor="text1" w:themeTint="F2"/>
        </w:rPr>
        <w:t xml:space="preserve"> is </w:t>
      </w:r>
      <w:r w:rsidR="00B2723F">
        <w:rPr>
          <w:rFonts w:cs="Times New Roman"/>
          <w:color w:val="0D0D0D" w:themeColor="text1" w:themeTint="F2"/>
        </w:rPr>
        <w:t xml:space="preserve">an </w:t>
      </w:r>
      <w:r w:rsidR="00A21735">
        <w:rPr>
          <w:rFonts w:cs="Times New Roman"/>
          <w:color w:val="0D0D0D" w:themeColor="text1" w:themeTint="F2"/>
        </w:rPr>
        <w:t xml:space="preserve">integral part </w:t>
      </w:r>
      <w:r w:rsidR="00B2723F">
        <w:rPr>
          <w:rFonts w:cs="Times New Roman"/>
          <w:color w:val="0D0D0D" w:themeColor="text1" w:themeTint="F2"/>
        </w:rPr>
        <w:t xml:space="preserve">of </w:t>
      </w:r>
      <w:r w:rsidR="00526AD7">
        <w:rPr>
          <w:rFonts w:cs="Times New Roman"/>
          <w:color w:val="0D0D0D" w:themeColor="text1" w:themeTint="F2"/>
        </w:rPr>
        <w:t xml:space="preserve">DG NEAR work </w:t>
      </w:r>
      <w:r w:rsidR="00CC764E">
        <w:rPr>
          <w:rFonts w:cs="Times New Roman"/>
          <w:color w:val="0D0D0D" w:themeColor="text1" w:themeTint="F2"/>
        </w:rPr>
        <w:t xml:space="preserve">to prepare </w:t>
      </w:r>
      <w:r w:rsidR="00BC76F2">
        <w:rPr>
          <w:rFonts w:cs="Times New Roman"/>
          <w:color w:val="0D0D0D" w:themeColor="text1" w:themeTint="F2"/>
        </w:rPr>
        <w:t xml:space="preserve">them </w:t>
      </w:r>
      <w:r w:rsidR="0065266E">
        <w:rPr>
          <w:rFonts w:cs="Times New Roman"/>
          <w:color w:val="0D0D0D" w:themeColor="text1" w:themeTint="F2"/>
        </w:rPr>
        <w:t>to join</w:t>
      </w:r>
      <w:r w:rsidR="00BC76F2">
        <w:rPr>
          <w:rFonts w:cs="Times New Roman"/>
          <w:color w:val="0D0D0D" w:themeColor="text1" w:themeTint="F2"/>
        </w:rPr>
        <w:t xml:space="preserve"> the European Union. </w:t>
      </w:r>
      <w:r w:rsidR="006F5137">
        <w:rPr>
          <w:rFonts w:cs="Times New Roman"/>
          <w:color w:val="0D0D0D" w:themeColor="text1" w:themeTint="F2"/>
        </w:rPr>
        <w:t xml:space="preserve">The action supports </w:t>
      </w:r>
      <w:r w:rsidR="00E160F5">
        <w:rPr>
          <w:rFonts w:cs="Times New Roman"/>
          <w:color w:val="0D0D0D" w:themeColor="text1" w:themeTint="F2"/>
        </w:rPr>
        <w:t xml:space="preserve">democracy as a </w:t>
      </w:r>
      <w:proofErr w:type="gramStart"/>
      <w:r w:rsidR="00E160F5">
        <w:rPr>
          <w:rFonts w:cs="Times New Roman"/>
          <w:color w:val="0D0D0D" w:themeColor="text1" w:themeTint="F2"/>
        </w:rPr>
        <w:t>value, but</w:t>
      </w:r>
      <w:proofErr w:type="gramEnd"/>
      <w:r w:rsidR="00E160F5">
        <w:rPr>
          <w:rFonts w:cs="Times New Roman"/>
          <w:color w:val="0D0D0D" w:themeColor="text1" w:themeTint="F2"/>
        </w:rPr>
        <w:t xml:space="preserve"> doesn’t target any specific activities towards media pluralism or civil society engagement. </w:t>
      </w:r>
    </w:p>
    <w:p w14:paraId="432E3399" w14:textId="77777777" w:rsidR="00C60BF9" w:rsidRPr="003C0CD7" w:rsidRDefault="00C60BF9" w:rsidP="00C60BF9">
      <w:pPr>
        <w:rPr>
          <w:rFonts w:cs="Times New Roman"/>
          <w:color w:val="0D0D0D" w:themeColor="text1" w:themeTint="F2"/>
        </w:rPr>
      </w:pPr>
    </w:p>
    <w:p w14:paraId="5E7E4A86" w14:textId="326795C5" w:rsidR="00C60BF9" w:rsidRDefault="00C60BF9" w:rsidP="00C60BF9">
      <w:pPr>
        <w:ind w:firstLine="720"/>
        <w:rPr>
          <w:rFonts w:cs="Times New Roman"/>
          <w:color w:val="0D0D0D" w:themeColor="text1" w:themeTint="F2"/>
        </w:rPr>
      </w:pPr>
      <w:r w:rsidRPr="003C0CD7">
        <w:rPr>
          <w:rFonts w:cs="Times New Roman"/>
          <w:b/>
          <w:color w:val="0D0D0D" w:themeColor="text1" w:themeTint="F2"/>
        </w:rPr>
        <w:t xml:space="preserve">Conflict sensitivity, </w:t>
      </w:r>
      <w:proofErr w:type="gramStart"/>
      <w:r w:rsidRPr="003C0CD7">
        <w:rPr>
          <w:rFonts w:cs="Times New Roman"/>
          <w:b/>
          <w:color w:val="0D0D0D" w:themeColor="text1" w:themeTint="F2"/>
        </w:rPr>
        <w:t>peace</w:t>
      </w:r>
      <w:proofErr w:type="gramEnd"/>
      <w:r w:rsidRPr="003C0CD7">
        <w:rPr>
          <w:rFonts w:cs="Times New Roman"/>
          <w:b/>
          <w:color w:val="0D0D0D" w:themeColor="text1" w:themeTint="F2"/>
        </w:rPr>
        <w:t xml:space="preserve"> and resilience </w:t>
      </w:r>
    </w:p>
    <w:p w14:paraId="2DFDDDA2" w14:textId="77777777" w:rsidR="0006347F" w:rsidRPr="003C0CD7" w:rsidRDefault="0006347F" w:rsidP="00C60BF9">
      <w:pPr>
        <w:ind w:firstLine="720"/>
        <w:rPr>
          <w:rFonts w:cs="Times New Roman"/>
          <w:color w:val="0D0D0D" w:themeColor="text1" w:themeTint="F2"/>
        </w:rPr>
      </w:pPr>
    </w:p>
    <w:p w14:paraId="1F280AEA" w14:textId="7AD8E87C" w:rsidR="00ED7837" w:rsidRPr="003C0CD7" w:rsidRDefault="00ED7837" w:rsidP="00C60BF9">
      <w:pPr>
        <w:rPr>
          <w:rFonts w:cs="Times New Roman"/>
          <w:color w:val="0D0D0D" w:themeColor="text1" w:themeTint="F2"/>
        </w:rPr>
      </w:pPr>
      <w:r>
        <w:rPr>
          <w:rFonts w:cs="Times New Roman"/>
          <w:color w:val="0D0D0D" w:themeColor="text1" w:themeTint="F2"/>
        </w:rPr>
        <w:t>Promoting trade and regional integration in Western Balkans is a sustainable and powerful way to reduce the risk of conflict in the region. The action aims at increasing cooperation a</w:t>
      </w:r>
      <w:r w:rsidR="00AC2731">
        <w:rPr>
          <w:rFonts w:cs="Times New Roman"/>
          <w:color w:val="0D0D0D" w:themeColor="text1" w:themeTint="F2"/>
        </w:rPr>
        <w:t>mong responsible</w:t>
      </w:r>
      <w:r>
        <w:rPr>
          <w:rFonts w:cs="Times New Roman"/>
          <w:color w:val="0D0D0D" w:themeColor="text1" w:themeTint="F2"/>
        </w:rPr>
        <w:t xml:space="preserve"> authorities </w:t>
      </w:r>
      <w:r w:rsidR="004D7760">
        <w:rPr>
          <w:rFonts w:cs="Times New Roman"/>
          <w:color w:val="0D0D0D" w:themeColor="text1" w:themeTint="F2"/>
        </w:rPr>
        <w:t>of</w:t>
      </w:r>
      <w:r>
        <w:rPr>
          <w:rFonts w:cs="Times New Roman"/>
          <w:color w:val="0D0D0D" w:themeColor="text1" w:themeTint="F2"/>
        </w:rPr>
        <w:t xml:space="preserve"> CEFTA parties (i.e. customs and regulatory authorities), promote opportunities for business in the region (i.e. chambers of commerce) and generate socio-economic benefits for the population. </w:t>
      </w:r>
    </w:p>
    <w:p w14:paraId="636CD92A" w14:textId="77777777" w:rsidR="00C60BF9" w:rsidRPr="003C0CD7" w:rsidRDefault="00C60BF9" w:rsidP="00C60BF9">
      <w:pPr>
        <w:rPr>
          <w:rFonts w:cs="Times New Roman"/>
          <w:color w:val="0D0D0D" w:themeColor="text1" w:themeTint="F2"/>
        </w:rPr>
      </w:pPr>
    </w:p>
    <w:p w14:paraId="61D409AE" w14:textId="6E5BD767" w:rsidR="00C60BF9" w:rsidRDefault="00C60BF9" w:rsidP="00C60BF9">
      <w:pPr>
        <w:ind w:firstLine="720"/>
        <w:rPr>
          <w:rFonts w:cs="Times New Roman"/>
          <w:color w:val="0D0D0D" w:themeColor="text1" w:themeTint="F2"/>
        </w:rPr>
      </w:pPr>
      <w:r w:rsidRPr="003C0CD7">
        <w:rPr>
          <w:rFonts w:cs="Times New Roman"/>
          <w:b/>
          <w:color w:val="0D0D0D" w:themeColor="text1" w:themeTint="F2"/>
        </w:rPr>
        <w:t xml:space="preserve">Disaster Risk Reduction </w:t>
      </w:r>
    </w:p>
    <w:p w14:paraId="1E8447DB" w14:textId="77777777" w:rsidR="0006347F" w:rsidRPr="003C0CD7" w:rsidRDefault="0006347F" w:rsidP="00E40F9D">
      <w:pPr>
        <w:rPr>
          <w:rFonts w:cs="Times New Roman"/>
          <w:color w:val="0D0D0D" w:themeColor="text1" w:themeTint="F2"/>
        </w:rPr>
      </w:pPr>
    </w:p>
    <w:p w14:paraId="0F52D4F8" w14:textId="77777777" w:rsidR="00B2205E" w:rsidRPr="00B2205E" w:rsidRDefault="00B2205E" w:rsidP="00B2205E">
      <w:pPr>
        <w:rPr>
          <w:rFonts w:cs="Times New Roman"/>
          <w:color w:val="0D0D0D" w:themeColor="text1" w:themeTint="F2"/>
        </w:rPr>
      </w:pPr>
      <w:r w:rsidRPr="00B2205E">
        <w:rPr>
          <w:rFonts w:cs="Times New Roman"/>
          <w:color w:val="0D0D0D" w:themeColor="text1" w:themeTint="F2"/>
        </w:rPr>
        <w:t xml:space="preserve">The promotion of data exchange through digital means among CEFTA parties can reduce phytosanitary, veterinary and food safety risks in the region. The regional platform for data exchange could also real-time notification in the event of an outbreak presenting a risk for human consumption, </w:t>
      </w:r>
      <w:proofErr w:type="gramStart"/>
      <w:r w:rsidRPr="00B2205E">
        <w:rPr>
          <w:rFonts w:cs="Times New Roman"/>
          <w:color w:val="0D0D0D" w:themeColor="text1" w:themeTint="F2"/>
        </w:rPr>
        <w:t>animals</w:t>
      </w:r>
      <w:proofErr w:type="gramEnd"/>
      <w:r w:rsidRPr="00B2205E">
        <w:rPr>
          <w:rFonts w:cs="Times New Roman"/>
          <w:color w:val="0D0D0D" w:themeColor="text1" w:themeTint="F2"/>
        </w:rPr>
        <w:t xml:space="preserve"> or the environment. </w:t>
      </w:r>
    </w:p>
    <w:p w14:paraId="54BDE876" w14:textId="77777777" w:rsidR="00C60BF9" w:rsidRPr="003C0CD7" w:rsidRDefault="00C60BF9" w:rsidP="00C60BF9">
      <w:pPr>
        <w:pStyle w:val="Heading1"/>
        <w:numPr>
          <w:ilvl w:val="1"/>
          <w:numId w:val="1"/>
        </w:numPr>
      </w:pPr>
      <w:bookmarkStart w:id="207" w:name="_Toc73090755"/>
      <w:r w:rsidRPr="003C0CD7">
        <w:t>Risks</w:t>
      </w:r>
      <w:bookmarkEnd w:id="204"/>
      <w:bookmarkEnd w:id="205"/>
      <w:bookmarkEnd w:id="206"/>
      <w:bookmarkEnd w:id="207"/>
      <w:r w:rsidRPr="003C0CD7">
        <w:t xml:space="preserve"> and </w:t>
      </w:r>
      <w:r w:rsidR="00653DDC">
        <w:t>Assumptions</w:t>
      </w:r>
    </w:p>
    <w:p w14:paraId="36B3D4D2" w14:textId="77777777" w:rsidR="00C60BF9" w:rsidRPr="003C0CD7" w:rsidRDefault="00C60BF9" w:rsidP="00C60BF9"/>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4"/>
        <w:gridCol w:w="1418"/>
        <w:gridCol w:w="1275"/>
        <w:gridCol w:w="3970"/>
      </w:tblGrid>
      <w:tr w:rsidR="00874872" w:rsidRPr="008704EA" w14:paraId="6E5ED7BA" w14:textId="77777777" w:rsidTr="004A4C6A">
        <w:trPr>
          <w:trHeight w:val="757"/>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2BF8420D" w14:textId="77777777" w:rsidR="00C60BF9" w:rsidRPr="003C0CD7" w:rsidRDefault="00C60BF9" w:rsidP="00C60BF9">
            <w:pPr>
              <w:rPr>
                <w:rFonts w:cs="Times New Roman"/>
                <w:b/>
              </w:rPr>
            </w:pPr>
            <w:r w:rsidRPr="003C0CD7">
              <w:rPr>
                <w:b/>
              </w:rPr>
              <w:t>Category</w:t>
            </w:r>
          </w:p>
        </w:tc>
        <w:tc>
          <w:tcPr>
            <w:tcW w:w="1984" w:type="dxa"/>
            <w:tcBorders>
              <w:top w:val="single" w:sz="4" w:space="0" w:color="auto"/>
              <w:left w:val="single" w:sz="4" w:space="0" w:color="auto"/>
              <w:bottom w:val="single" w:sz="4" w:space="0" w:color="auto"/>
              <w:right w:val="single" w:sz="4" w:space="0" w:color="auto"/>
            </w:tcBorders>
          </w:tcPr>
          <w:p w14:paraId="6E0AA451" w14:textId="77777777" w:rsidR="00C60BF9" w:rsidRPr="003C0CD7" w:rsidRDefault="00C60BF9" w:rsidP="00C60BF9">
            <w:pPr>
              <w:rPr>
                <w:rFonts w:cs="Times New Roman"/>
                <w:b/>
              </w:rPr>
            </w:pPr>
            <w:r w:rsidRPr="003C0CD7">
              <w:rPr>
                <w:rFonts w:cs="Times New Roman"/>
                <w:b/>
              </w:rPr>
              <w:t>Risks</w:t>
            </w:r>
          </w:p>
        </w:tc>
        <w:tc>
          <w:tcPr>
            <w:tcW w:w="1418" w:type="dxa"/>
            <w:tcBorders>
              <w:top w:val="single" w:sz="4" w:space="0" w:color="auto"/>
              <w:left w:val="single" w:sz="4" w:space="0" w:color="auto"/>
              <w:bottom w:val="single" w:sz="4" w:space="0" w:color="auto"/>
              <w:right w:val="single" w:sz="4" w:space="0" w:color="auto"/>
            </w:tcBorders>
          </w:tcPr>
          <w:p w14:paraId="294EAF17" w14:textId="77777777" w:rsidR="00C60BF9" w:rsidRPr="003C0CD7" w:rsidRDefault="00C60BF9" w:rsidP="00C60BF9">
            <w:pPr>
              <w:jc w:val="left"/>
              <w:rPr>
                <w:rFonts w:cs="Times New Roman"/>
                <w:b/>
              </w:rPr>
            </w:pPr>
            <w:r w:rsidRPr="003C0CD7">
              <w:rPr>
                <w:rFonts w:cs="Times New Roman"/>
                <w:b/>
              </w:rPr>
              <w:t>Likelihood</w:t>
            </w:r>
          </w:p>
          <w:p w14:paraId="4A9FBBFA" w14:textId="77777777" w:rsidR="00C60BF9" w:rsidRPr="003C0CD7" w:rsidRDefault="00C60BF9" w:rsidP="00C60BF9">
            <w:pPr>
              <w:jc w:val="left"/>
              <w:rPr>
                <w:rFonts w:cs="Times New Roman"/>
                <w:b/>
              </w:rPr>
            </w:pPr>
            <w:r w:rsidRPr="003C0CD7">
              <w:rPr>
                <w:rFonts w:cs="Times New Roman"/>
                <w:b/>
              </w:rPr>
              <w:t>(High/</w:t>
            </w:r>
          </w:p>
          <w:p w14:paraId="6CFB4F9E" w14:textId="77777777" w:rsidR="00C60BF9" w:rsidRPr="003C0CD7" w:rsidRDefault="00C60BF9" w:rsidP="00C60BF9">
            <w:pPr>
              <w:jc w:val="left"/>
              <w:rPr>
                <w:rFonts w:cs="Times New Roman"/>
                <w:b/>
              </w:rPr>
            </w:pPr>
            <w:r w:rsidRPr="003C0CD7">
              <w:rPr>
                <w:rFonts w:cs="Times New Roman"/>
                <w:b/>
              </w:rPr>
              <w:t>Medium/</w:t>
            </w:r>
          </w:p>
          <w:p w14:paraId="002A4C86" w14:textId="77777777" w:rsidR="00C60BF9" w:rsidRPr="003C0CD7" w:rsidRDefault="00C60BF9" w:rsidP="00C60BF9">
            <w:pPr>
              <w:jc w:val="left"/>
              <w:rPr>
                <w:rFonts w:cs="Times New Roman"/>
                <w:b/>
              </w:rPr>
            </w:pPr>
            <w:r w:rsidRPr="003C0CD7">
              <w:rPr>
                <w:rFonts w:cs="Times New Roman"/>
                <w:b/>
              </w:rPr>
              <w:lastRenderedPageBreak/>
              <w:t>Low)</w:t>
            </w:r>
          </w:p>
        </w:tc>
        <w:tc>
          <w:tcPr>
            <w:tcW w:w="1275" w:type="dxa"/>
            <w:tcBorders>
              <w:top w:val="single" w:sz="4" w:space="0" w:color="auto"/>
              <w:left w:val="single" w:sz="4" w:space="0" w:color="auto"/>
              <w:bottom w:val="single" w:sz="4" w:space="0" w:color="auto"/>
              <w:right w:val="single" w:sz="4" w:space="0" w:color="auto"/>
            </w:tcBorders>
          </w:tcPr>
          <w:p w14:paraId="71C66859" w14:textId="77777777" w:rsidR="00C60BF9" w:rsidRPr="003C0CD7" w:rsidRDefault="00C60BF9" w:rsidP="00C60BF9">
            <w:pPr>
              <w:jc w:val="left"/>
              <w:rPr>
                <w:rFonts w:cs="Times New Roman"/>
                <w:b/>
              </w:rPr>
            </w:pPr>
            <w:r w:rsidRPr="003C0CD7">
              <w:rPr>
                <w:rFonts w:cs="Times New Roman"/>
                <w:b/>
              </w:rPr>
              <w:lastRenderedPageBreak/>
              <w:t xml:space="preserve">Impact </w:t>
            </w:r>
          </w:p>
          <w:p w14:paraId="639E1CF6" w14:textId="77777777" w:rsidR="00C60BF9" w:rsidRPr="003C0CD7" w:rsidRDefault="00C60BF9" w:rsidP="00C60BF9">
            <w:pPr>
              <w:jc w:val="left"/>
              <w:rPr>
                <w:rFonts w:cs="Times New Roman"/>
                <w:b/>
              </w:rPr>
            </w:pPr>
            <w:r w:rsidRPr="003C0CD7">
              <w:rPr>
                <w:rFonts w:cs="Times New Roman"/>
                <w:b/>
              </w:rPr>
              <w:t>(High/</w:t>
            </w:r>
          </w:p>
          <w:p w14:paraId="43C9F08B" w14:textId="77777777" w:rsidR="00C60BF9" w:rsidRPr="003C0CD7" w:rsidRDefault="00C60BF9" w:rsidP="00C60BF9">
            <w:pPr>
              <w:jc w:val="left"/>
              <w:rPr>
                <w:rFonts w:cs="Times New Roman"/>
                <w:b/>
              </w:rPr>
            </w:pPr>
            <w:r w:rsidRPr="003C0CD7">
              <w:rPr>
                <w:rFonts w:cs="Times New Roman"/>
                <w:b/>
              </w:rPr>
              <w:t>Medium/</w:t>
            </w:r>
          </w:p>
          <w:p w14:paraId="351DE2E8" w14:textId="77777777" w:rsidR="00C60BF9" w:rsidRPr="003C0CD7" w:rsidRDefault="00C60BF9" w:rsidP="00C60BF9">
            <w:pPr>
              <w:jc w:val="left"/>
              <w:rPr>
                <w:rFonts w:cs="Times New Roman"/>
                <w:b/>
              </w:rPr>
            </w:pPr>
            <w:r w:rsidRPr="003C0CD7">
              <w:rPr>
                <w:rFonts w:cs="Times New Roman"/>
                <w:b/>
              </w:rPr>
              <w:lastRenderedPageBreak/>
              <w:t>Low)</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5696B306" w14:textId="77777777" w:rsidR="00C60BF9" w:rsidRPr="003C0CD7" w:rsidRDefault="00C60BF9" w:rsidP="00C60BF9">
            <w:pPr>
              <w:rPr>
                <w:rFonts w:cs="Times New Roman"/>
                <w:b/>
              </w:rPr>
            </w:pPr>
            <w:r w:rsidRPr="003C0CD7">
              <w:rPr>
                <w:rFonts w:cs="Times New Roman"/>
                <w:b/>
              </w:rPr>
              <w:lastRenderedPageBreak/>
              <w:t>Mitigating measures</w:t>
            </w:r>
          </w:p>
        </w:tc>
      </w:tr>
      <w:tr w:rsidR="00874872" w:rsidRPr="008704EA" w14:paraId="21B4B051" w14:textId="77777777" w:rsidTr="004A4C6A">
        <w:trPr>
          <w:trHeight w:val="53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41F23A2" w14:textId="77777777" w:rsidR="00E54595" w:rsidRDefault="00E54595" w:rsidP="00E54595">
            <w:pPr>
              <w:rPr>
                <w:rFonts w:cs="Times New Roman"/>
              </w:rPr>
            </w:pPr>
            <w:r w:rsidRPr="00966969">
              <w:rPr>
                <w:rFonts w:cs="Times New Roman"/>
                <w:szCs w:val="24"/>
              </w:rPr>
              <w:t xml:space="preserve">1-External environment: </w:t>
            </w:r>
            <w:r>
              <w:rPr>
                <w:rFonts w:cs="Times New Roman"/>
              </w:rPr>
              <w:t>Political matters</w:t>
            </w:r>
          </w:p>
          <w:p w14:paraId="4786DFA6" w14:textId="77777777" w:rsidR="00665DE6" w:rsidRPr="003C0CD7" w:rsidRDefault="00665DE6" w:rsidP="00665DE6">
            <w:pP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14:paraId="69A6EE3E" w14:textId="68967994" w:rsidR="00E54595" w:rsidRPr="008D22E2" w:rsidRDefault="00A139E2" w:rsidP="00E54595">
            <w:pPr>
              <w:jc w:val="left"/>
              <w:rPr>
                <w:rFonts w:cs="Times New Roman"/>
                <w:szCs w:val="24"/>
              </w:rPr>
            </w:pPr>
            <w:r>
              <w:rPr>
                <w:rFonts w:cs="Times New Roman"/>
                <w:szCs w:val="24"/>
              </w:rPr>
              <w:t>Lack of progress with</w:t>
            </w:r>
            <w:r w:rsidR="00E54595" w:rsidRPr="008D22E2">
              <w:rPr>
                <w:rFonts w:cs="Times New Roman"/>
                <w:szCs w:val="24"/>
              </w:rPr>
              <w:t xml:space="preserve"> the</w:t>
            </w:r>
            <w:r>
              <w:rPr>
                <w:rFonts w:cs="Times New Roman"/>
                <w:szCs w:val="24"/>
              </w:rPr>
              <w:t xml:space="preserve"> implementation of</w:t>
            </w:r>
            <w:r w:rsidR="00E54595" w:rsidRPr="008D22E2">
              <w:rPr>
                <w:rFonts w:cs="Times New Roman"/>
                <w:szCs w:val="24"/>
              </w:rPr>
              <w:t xml:space="preserve"> Belgrade-Pristina dialogue </w:t>
            </w:r>
            <w:r w:rsidR="00E54595">
              <w:rPr>
                <w:rFonts w:cs="Times New Roman"/>
                <w:szCs w:val="24"/>
              </w:rPr>
              <w:t xml:space="preserve">agreement (2023) </w:t>
            </w:r>
            <w:r w:rsidR="005C10CF">
              <w:rPr>
                <w:rFonts w:cs="Times New Roman"/>
                <w:szCs w:val="24"/>
              </w:rPr>
              <w:t>c</w:t>
            </w:r>
            <w:r w:rsidR="00D52EC4">
              <w:rPr>
                <w:rFonts w:cs="Times New Roman"/>
                <w:szCs w:val="24"/>
              </w:rPr>
              <w:t xml:space="preserve">ould negatively affect </w:t>
            </w:r>
            <w:r w:rsidR="00C91F3C">
              <w:rPr>
                <w:rFonts w:cs="Times New Roman"/>
                <w:szCs w:val="24"/>
              </w:rPr>
              <w:t xml:space="preserve">trade and regional </w:t>
            </w:r>
            <w:proofErr w:type="gramStart"/>
            <w:r w:rsidR="00C91F3C">
              <w:rPr>
                <w:rFonts w:cs="Times New Roman"/>
                <w:szCs w:val="24"/>
              </w:rPr>
              <w:t>integration</w:t>
            </w:r>
            <w:proofErr w:type="gramEnd"/>
            <w:r w:rsidR="00E54595">
              <w:rPr>
                <w:rFonts w:cs="Times New Roman"/>
                <w:szCs w:val="24"/>
              </w:rPr>
              <w:t xml:space="preserve"> </w:t>
            </w:r>
          </w:p>
          <w:p w14:paraId="2E1EC3C9" w14:textId="77777777" w:rsidR="00665DE6" w:rsidRPr="003C0CD7" w:rsidRDefault="00665DE6" w:rsidP="00665DE6">
            <w:pPr>
              <w:rPr>
                <w:rFonts w:cs="Times New Roman"/>
                <w:b/>
                <w:bCs/>
              </w:rPr>
            </w:pPr>
          </w:p>
        </w:tc>
        <w:tc>
          <w:tcPr>
            <w:tcW w:w="1418" w:type="dxa"/>
            <w:tcBorders>
              <w:top w:val="single" w:sz="4" w:space="0" w:color="auto"/>
              <w:left w:val="single" w:sz="4" w:space="0" w:color="auto"/>
              <w:bottom w:val="single" w:sz="4" w:space="0" w:color="auto"/>
              <w:right w:val="single" w:sz="4" w:space="0" w:color="auto"/>
            </w:tcBorders>
          </w:tcPr>
          <w:p w14:paraId="6D49D1F4" w14:textId="440EAC0C" w:rsidR="00665DE6" w:rsidRPr="003C0CD7" w:rsidRDefault="00E54595" w:rsidP="00665DE6">
            <w:pPr>
              <w:jc w:val="left"/>
              <w:rPr>
                <w:rFonts w:cs="Times New Roman"/>
                <w:b/>
                <w:bCs/>
              </w:rPr>
            </w:pPr>
            <w:r w:rsidRPr="00D54FF4">
              <w:rPr>
                <w:rFonts w:cs="Times New Roman"/>
                <w:szCs w:val="24"/>
              </w:rPr>
              <w:t>M</w:t>
            </w:r>
          </w:p>
        </w:tc>
        <w:tc>
          <w:tcPr>
            <w:tcW w:w="1275" w:type="dxa"/>
            <w:tcBorders>
              <w:top w:val="single" w:sz="4" w:space="0" w:color="auto"/>
              <w:left w:val="single" w:sz="4" w:space="0" w:color="auto"/>
              <w:bottom w:val="single" w:sz="4" w:space="0" w:color="auto"/>
              <w:right w:val="single" w:sz="4" w:space="0" w:color="auto"/>
            </w:tcBorders>
          </w:tcPr>
          <w:p w14:paraId="440878F9" w14:textId="01EB14F1" w:rsidR="00665DE6" w:rsidRPr="003C0CD7" w:rsidRDefault="00E54595" w:rsidP="00665DE6">
            <w:pPr>
              <w:jc w:val="left"/>
              <w:rPr>
                <w:rFonts w:cs="Times New Roman"/>
                <w:b/>
                <w:bCs/>
              </w:rPr>
            </w:pPr>
            <w:r w:rsidRPr="00D54FF4">
              <w:rPr>
                <w:rFonts w:cs="Times New Roman"/>
                <w:szCs w:val="24"/>
              </w:rPr>
              <w:t>H</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340FD746" w14:textId="3B6668C3" w:rsidR="00E54595" w:rsidRDefault="002F149E" w:rsidP="00E54595">
            <w:pPr>
              <w:rPr>
                <w:rFonts w:cs="Times New Roman"/>
                <w:szCs w:val="24"/>
              </w:rPr>
            </w:pPr>
            <w:r>
              <w:rPr>
                <w:rFonts w:cs="Times New Roman"/>
                <w:szCs w:val="24"/>
              </w:rPr>
              <w:t>Regular e</w:t>
            </w:r>
            <w:r w:rsidR="00E54595" w:rsidRPr="00D54FF4">
              <w:rPr>
                <w:rFonts w:cs="Times New Roman"/>
                <w:szCs w:val="24"/>
              </w:rPr>
              <w:t xml:space="preserve">ngagement with </w:t>
            </w:r>
            <w:r w:rsidR="00E54595">
              <w:rPr>
                <w:rFonts w:cs="Times New Roman"/>
                <w:szCs w:val="24"/>
              </w:rPr>
              <w:t xml:space="preserve">stakeholders </w:t>
            </w:r>
            <w:r w:rsidR="007B4E94">
              <w:rPr>
                <w:rFonts w:cs="Times New Roman"/>
                <w:szCs w:val="24"/>
              </w:rPr>
              <w:t>through</w:t>
            </w:r>
            <w:r w:rsidR="00E54595">
              <w:rPr>
                <w:rFonts w:cs="Times New Roman"/>
                <w:szCs w:val="24"/>
              </w:rPr>
              <w:t xml:space="preserve"> </w:t>
            </w:r>
            <w:r w:rsidR="00315B22">
              <w:rPr>
                <w:rFonts w:cs="Times New Roman"/>
                <w:szCs w:val="24"/>
              </w:rPr>
              <w:t>Growth Plan</w:t>
            </w:r>
            <w:r w:rsidR="00A90DA4">
              <w:rPr>
                <w:rFonts w:cs="Times New Roman"/>
                <w:szCs w:val="24"/>
              </w:rPr>
              <w:t xml:space="preserve"> fora and</w:t>
            </w:r>
            <w:r w:rsidR="00315B22">
              <w:rPr>
                <w:rFonts w:cs="Times New Roman"/>
                <w:szCs w:val="24"/>
              </w:rPr>
              <w:t xml:space="preserve"> </w:t>
            </w:r>
            <w:r w:rsidR="00E54595">
              <w:rPr>
                <w:rFonts w:cs="Times New Roman"/>
                <w:szCs w:val="24"/>
              </w:rPr>
              <w:t xml:space="preserve">CEFTA </w:t>
            </w:r>
            <w:r w:rsidR="007B4E94">
              <w:rPr>
                <w:rFonts w:cs="Times New Roman"/>
                <w:szCs w:val="24"/>
              </w:rPr>
              <w:t xml:space="preserve">structures </w:t>
            </w:r>
            <w:r w:rsidR="0000488A">
              <w:rPr>
                <w:rFonts w:cs="Times New Roman"/>
                <w:szCs w:val="24"/>
              </w:rPr>
              <w:t xml:space="preserve">should promote constructive attitudes and ensure that </w:t>
            </w:r>
            <w:r w:rsidR="002A1EC9">
              <w:rPr>
                <w:rFonts w:cs="Times New Roman"/>
                <w:szCs w:val="24"/>
              </w:rPr>
              <w:t xml:space="preserve">mutual benefits are not blocked by </w:t>
            </w:r>
            <w:r w:rsidR="004E32D4">
              <w:rPr>
                <w:rFonts w:cs="Times New Roman"/>
                <w:szCs w:val="24"/>
              </w:rPr>
              <w:t>political factors.</w:t>
            </w:r>
          </w:p>
          <w:p w14:paraId="66F0F5C0" w14:textId="77777777" w:rsidR="004E32D4" w:rsidRDefault="004E32D4" w:rsidP="004E32D4">
            <w:pPr>
              <w:rPr>
                <w:rFonts w:cs="Times New Roman"/>
                <w:szCs w:val="24"/>
              </w:rPr>
            </w:pPr>
          </w:p>
          <w:p w14:paraId="5EC261B5" w14:textId="77777777" w:rsidR="00E54595" w:rsidRDefault="00E54595" w:rsidP="00E54595">
            <w:pPr>
              <w:rPr>
                <w:rFonts w:cs="Times New Roman"/>
                <w:szCs w:val="24"/>
              </w:rPr>
            </w:pPr>
            <w:r>
              <w:rPr>
                <w:rFonts w:cs="Times New Roman"/>
                <w:szCs w:val="24"/>
              </w:rPr>
              <w:t>Active participation of the private sector in demonstrating the benefits and need for deeper regional integration in Western Balkans.</w:t>
            </w:r>
          </w:p>
          <w:p w14:paraId="622B4F51" w14:textId="77777777" w:rsidR="00E54595" w:rsidRDefault="00E54595" w:rsidP="00E54595">
            <w:pPr>
              <w:rPr>
                <w:rFonts w:cs="Times New Roman"/>
                <w:szCs w:val="24"/>
              </w:rPr>
            </w:pPr>
          </w:p>
          <w:p w14:paraId="328ECC37" w14:textId="77777777" w:rsidR="00E54595" w:rsidRDefault="00E54595" w:rsidP="00E54595">
            <w:pPr>
              <w:rPr>
                <w:rFonts w:cs="Times New Roman"/>
                <w:szCs w:val="24"/>
              </w:rPr>
            </w:pPr>
            <w:r>
              <w:rPr>
                <w:rFonts w:cs="Times New Roman"/>
                <w:szCs w:val="24"/>
              </w:rPr>
              <w:t xml:space="preserve">Trade data exchanged digitally through clouds located outside of the region preventing political susceptibility. </w:t>
            </w:r>
          </w:p>
          <w:p w14:paraId="1415C1B3" w14:textId="77777777" w:rsidR="00665DE6" w:rsidRPr="003C0CD7" w:rsidRDefault="00665DE6" w:rsidP="00665DE6">
            <w:pPr>
              <w:rPr>
                <w:rFonts w:cs="Times New Roman"/>
                <w:b/>
                <w:bCs/>
              </w:rPr>
            </w:pPr>
          </w:p>
        </w:tc>
      </w:tr>
      <w:tr w:rsidR="00874872" w:rsidRPr="008704EA" w14:paraId="30312A42" w14:textId="77777777" w:rsidTr="004A4C6A">
        <w:trPr>
          <w:trHeight w:val="53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2BDCE76C" w14:textId="2B3D2223" w:rsidR="00665DE6" w:rsidRPr="003C0CD7" w:rsidRDefault="00E54595" w:rsidP="00665DE6">
            <w:pPr>
              <w:rPr>
                <w:rFonts w:cs="Times New Roman"/>
              </w:rPr>
            </w:pPr>
            <w:r w:rsidRPr="00966969">
              <w:rPr>
                <w:rFonts w:cs="Times New Roman"/>
                <w:szCs w:val="24"/>
              </w:rPr>
              <w:t xml:space="preserve">1-External environment: </w:t>
            </w:r>
            <w:r>
              <w:rPr>
                <w:rFonts w:cs="Times New Roman"/>
              </w:rPr>
              <w:t>Economic conditions</w:t>
            </w:r>
          </w:p>
        </w:tc>
        <w:tc>
          <w:tcPr>
            <w:tcW w:w="1984" w:type="dxa"/>
            <w:tcBorders>
              <w:top w:val="single" w:sz="4" w:space="0" w:color="auto"/>
              <w:left w:val="single" w:sz="4" w:space="0" w:color="auto"/>
              <w:bottom w:val="single" w:sz="4" w:space="0" w:color="auto"/>
              <w:right w:val="single" w:sz="4" w:space="0" w:color="auto"/>
            </w:tcBorders>
          </w:tcPr>
          <w:p w14:paraId="63536F7B" w14:textId="740C0444" w:rsidR="00E54595" w:rsidRDefault="00AE7FFC" w:rsidP="00E54595">
            <w:pPr>
              <w:jc w:val="left"/>
              <w:rPr>
                <w:rFonts w:cs="Times New Roman"/>
                <w:szCs w:val="24"/>
              </w:rPr>
            </w:pPr>
            <w:r>
              <w:rPr>
                <w:rFonts w:cs="Times New Roman"/>
                <w:szCs w:val="24"/>
              </w:rPr>
              <w:t>Macro</w:t>
            </w:r>
            <w:r w:rsidR="00607A8F">
              <w:rPr>
                <w:rFonts w:cs="Times New Roman"/>
                <w:szCs w:val="24"/>
              </w:rPr>
              <w:t xml:space="preserve">-fiscal </w:t>
            </w:r>
            <w:r w:rsidR="00BE61D5">
              <w:rPr>
                <w:rFonts w:cs="Times New Roman"/>
                <w:szCs w:val="24"/>
              </w:rPr>
              <w:t>weaknesses could</w:t>
            </w:r>
            <w:r w:rsidR="00E54595">
              <w:rPr>
                <w:rFonts w:cs="Times New Roman"/>
                <w:szCs w:val="24"/>
              </w:rPr>
              <w:t xml:space="preserve"> </w:t>
            </w:r>
            <w:r w:rsidR="007A4FCC">
              <w:rPr>
                <w:rFonts w:cs="Times New Roman"/>
                <w:szCs w:val="24"/>
              </w:rPr>
              <w:t>negatively impact</w:t>
            </w:r>
            <w:r w:rsidR="00E54595">
              <w:rPr>
                <w:rFonts w:cs="Times New Roman"/>
                <w:szCs w:val="24"/>
              </w:rPr>
              <w:t xml:space="preserve"> trade flows in the </w:t>
            </w:r>
            <w:proofErr w:type="gramStart"/>
            <w:r w:rsidR="00E54595">
              <w:rPr>
                <w:rFonts w:cs="Times New Roman"/>
                <w:szCs w:val="24"/>
              </w:rPr>
              <w:t>region</w:t>
            </w:r>
            <w:proofErr w:type="gramEnd"/>
          </w:p>
          <w:p w14:paraId="54A6E576" w14:textId="5DBD2FFB" w:rsidR="00665DE6" w:rsidRPr="003C0CD7" w:rsidRDefault="00665DE6" w:rsidP="00665DE6">
            <w:pPr>
              <w:rPr>
                <w:rFonts w:cs="Times New Roman"/>
                <w:b/>
                <w:bCs/>
              </w:rPr>
            </w:pPr>
          </w:p>
        </w:tc>
        <w:tc>
          <w:tcPr>
            <w:tcW w:w="1418" w:type="dxa"/>
            <w:tcBorders>
              <w:top w:val="single" w:sz="4" w:space="0" w:color="auto"/>
              <w:left w:val="single" w:sz="4" w:space="0" w:color="auto"/>
              <w:bottom w:val="single" w:sz="4" w:space="0" w:color="auto"/>
              <w:right w:val="single" w:sz="4" w:space="0" w:color="auto"/>
            </w:tcBorders>
          </w:tcPr>
          <w:p w14:paraId="21BDC7CB" w14:textId="12E8A890" w:rsidR="00665DE6" w:rsidRPr="003C0CD7" w:rsidRDefault="00E54595" w:rsidP="00665DE6">
            <w:pPr>
              <w:jc w:val="left"/>
              <w:rPr>
                <w:rFonts w:cs="Times New Roman"/>
                <w:b/>
              </w:rPr>
            </w:pPr>
            <w:r>
              <w:rPr>
                <w:rFonts w:cs="Times New Roman"/>
                <w:szCs w:val="24"/>
              </w:rPr>
              <w:t>M</w:t>
            </w:r>
          </w:p>
        </w:tc>
        <w:tc>
          <w:tcPr>
            <w:tcW w:w="1275" w:type="dxa"/>
            <w:tcBorders>
              <w:top w:val="single" w:sz="4" w:space="0" w:color="auto"/>
              <w:left w:val="single" w:sz="4" w:space="0" w:color="auto"/>
              <w:bottom w:val="single" w:sz="4" w:space="0" w:color="auto"/>
              <w:right w:val="single" w:sz="4" w:space="0" w:color="auto"/>
            </w:tcBorders>
          </w:tcPr>
          <w:p w14:paraId="08A68E1E" w14:textId="02975EDA" w:rsidR="00665DE6" w:rsidRPr="003C0CD7" w:rsidRDefault="00E54595" w:rsidP="00665DE6">
            <w:pPr>
              <w:jc w:val="left"/>
              <w:rPr>
                <w:rFonts w:cs="Times New Roman"/>
                <w:b/>
              </w:rPr>
            </w:pPr>
            <w:r>
              <w:rPr>
                <w:rFonts w:cs="Times New Roman"/>
                <w:szCs w:val="24"/>
              </w:rPr>
              <w:t>M</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78A6C06E" w14:textId="041E9010" w:rsidR="00665DE6" w:rsidRPr="003C0CD7" w:rsidRDefault="00E54595" w:rsidP="00665DE6">
            <w:pPr>
              <w:rPr>
                <w:rFonts w:cs="Times New Roman"/>
                <w:b/>
              </w:rPr>
            </w:pPr>
            <w:r>
              <w:rPr>
                <w:rFonts w:cs="Times New Roman"/>
                <w:szCs w:val="24"/>
              </w:rPr>
              <w:t xml:space="preserve">The engagement of the European Commission with Western Balkans as part of the accession process together with support through Economic Reform Programmes, Economic Investment Plans and broadly through the Instrument of Pre-accession Assistance should contribute to improving the resilience and competitivity of the region. </w:t>
            </w:r>
          </w:p>
        </w:tc>
      </w:tr>
      <w:tr w:rsidR="00874872" w:rsidRPr="008704EA" w14:paraId="32F6A36F" w14:textId="77777777" w:rsidTr="004A4C6A">
        <w:trPr>
          <w:trHeight w:val="53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692EE7D6" w14:textId="23897881" w:rsidR="00665DE6" w:rsidRPr="003C0CD7" w:rsidRDefault="00E54595" w:rsidP="00665DE6">
            <w:pPr>
              <w:rPr>
                <w:rFonts w:cs="Times New Roman"/>
              </w:rPr>
            </w:pPr>
            <w:r w:rsidRPr="00966969">
              <w:rPr>
                <w:rFonts w:cs="Times New Roman"/>
                <w:szCs w:val="24"/>
              </w:rPr>
              <w:t xml:space="preserve">1-External environment: </w:t>
            </w:r>
            <w:r w:rsidRPr="00703B62">
              <w:rPr>
                <w:rFonts w:cs="Times New Roman"/>
                <w:szCs w:val="24"/>
              </w:rPr>
              <w:t>Cybersecurity</w:t>
            </w:r>
          </w:p>
        </w:tc>
        <w:tc>
          <w:tcPr>
            <w:tcW w:w="1984" w:type="dxa"/>
            <w:tcBorders>
              <w:top w:val="single" w:sz="4" w:space="0" w:color="auto"/>
              <w:left w:val="single" w:sz="4" w:space="0" w:color="auto"/>
              <w:bottom w:val="single" w:sz="4" w:space="0" w:color="auto"/>
              <w:right w:val="single" w:sz="4" w:space="0" w:color="auto"/>
            </w:tcBorders>
          </w:tcPr>
          <w:p w14:paraId="4780EFFB" w14:textId="3E3D5AC2" w:rsidR="00665DE6" w:rsidRPr="003C0CD7" w:rsidRDefault="00E54595" w:rsidP="00665DE6">
            <w:r>
              <w:rPr>
                <w:rFonts w:cs="Times New Roman"/>
                <w:szCs w:val="24"/>
              </w:rPr>
              <w:t xml:space="preserve">Cyber-attacks </w:t>
            </w:r>
            <w:r w:rsidR="00A8347A">
              <w:rPr>
                <w:rFonts w:cs="Times New Roman"/>
                <w:szCs w:val="24"/>
              </w:rPr>
              <w:t>disrupting the functioning of administrations and businesses</w:t>
            </w:r>
          </w:p>
        </w:tc>
        <w:tc>
          <w:tcPr>
            <w:tcW w:w="1418" w:type="dxa"/>
            <w:tcBorders>
              <w:top w:val="single" w:sz="4" w:space="0" w:color="auto"/>
              <w:left w:val="single" w:sz="4" w:space="0" w:color="auto"/>
              <w:bottom w:val="single" w:sz="4" w:space="0" w:color="auto"/>
              <w:right w:val="single" w:sz="4" w:space="0" w:color="auto"/>
            </w:tcBorders>
          </w:tcPr>
          <w:p w14:paraId="388357F6" w14:textId="24F1EE1B" w:rsidR="00665DE6" w:rsidRPr="003C0CD7" w:rsidRDefault="00E54595" w:rsidP="00665DE6">
            <w:pPr>
              <w:jc w:val="left"/>
              <w:rPr>
                <w:rFonts w:cs="Times New Roman"/>
                <w:b/>
              </w:rPr>
            </w:pPr>
            <w:r>
              <w:rPr>
                <w:rFonts w:cs="Times New Roman"/>
                <w:szCs w:val="24"/>
              </w:rPr>
              <w:t>M</w:t>
            </w:r>
          </w:p>
        </w:tc>
        <w:tc>
          <w:tcPr>
            <w:tcW w:w="1275" w:type="dxa"/>
            <w:tcBorders>
              <w:top w:val="single" w:sz="4" w:space="0" w:color="auto"/>
              <w:left w:val="single" w:sz="4" w:space="0" w:color="auto"/>
              <w:bottom w:val="single" w:sz="4" w:space="0" w:color="auto"/>
              <w:right w:val="single" w:sz="4" w:space="0" w:color="auto"/>
            </w:tcBorders>
          </w:tcPr>
          <w:p w14:paraId="21D241CD" w14:textId="70483E6C" w:rsidR="00665DE6" w:rsidRPr="003C0CD7" w:rsidRDefault="00E54595" w:rsidP="00665DE6">
            <w:pPr>
              <w:jc w:val="left"/>
              <w:rPr>
                <w:rFonts w:cs="Times New Roman"/>
                <w:b/>
              </w:rPr>
            </w:pPr>
            <w:r>
              <w:rPr>
                <w:rFonts w:cs="Times New Roman"/>
                <w:szCs w:val="24"/>
              </w:rPr>
              <w:t>M</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1E8FB36A" w14:textId="126B9B20" w:rsidR="00E54595" w:rsidRPr="00703B62" w:rsidRDefault="00157806" w:rsidP="00E54595">
            <w:pPr>
              <w:rPr>
                <w:rFonts w:cs="Times New Roman"/>
                <w:szCs w:val="24"/>
              </w:rPr>
            </w:pPr>
            <w:r>
              <w:rPr>
                <w:rFonts w:cs="Times New Roman"/>
                <w:szCs w:val="24"/>
              </w:rPr>
              <w:t>Support</w:t>
            </w:r>
            <w:r w:rsidR="00E54595" w:rsidRPr="00703B62">
              <w:rPr>
                <w:rFonts w:cs="Times New Roman"/>
                <w:szCs w:val="24"/>
              </w:rPr>
              <w:t xml:space="preserve"> cyber resilience </w:t>
            </w:r>
            <w:r w:rsidR="00212CDA">
              <w:rPr>
                <w:rFonts w:cs="Times New Roman"/>
                <w:szCs w:val="24"/>
              </w:rPr>
              <w:t xml:space="preserve">and networking in the region </w:t>
            </w:r>
            <w:r w:rsidR="00E54595" w:rsidRPr="00703B62">
              <w:rPr>
                <w:rFonts w:cs="Times New Roman"/>
                <w:szCs w:val="24"/>
              </w:rPr>
              <w:t xml:space="preserve">to </w:t>
            </w:r>
            <w:r w:rsidR="00212CDA">
              <w:rPr>
                <w:rFonts w:cs="Times New Roman"/>
                <w:szCs w:val="24"/>
              </w:rPr>
              <w:t>improve the resilience of</w:t>
            </w:r>
            <w:r w:rsidR="00E54595" w:rsidRPr="00703B62">
              <w:rPr>
                <w:rFonts w:cs="Times New Roman"/>
                <w:szCs w:val="24"/>
              </w:rPr>
              <w:t xml:space="preserve"> critical infrastructure</w:t>
            </w:r>
            <w:r w:rsidR="00212CDA">
              <w:rPr>
                <w:rFonts w:cs="Times New Roman"/>
                <w:szCs w:val="24"/>
              </w:rPr>
              <w:t>s</w:t>
            </w:r>
            <w:r w:rsidR="00E54595" w:rsidRPr="00703B62">
              <w:rPr>
                <w:rFonts w:cs="Times New Roman"/>
                <w:szCs w:val="24"/>
              </w:rPr>
              <w:t xml:space="preserve">. </w:t>
            </w:r>
          </w:p>
          <w:p w14:paraId="1A330940" w14:textId="77777777" w:rsidR="00665DE6" w:rsidRPr="003C0CD7" w:rsidRDefault="00665DE6" w:rsidP="00665DE6">
            <w:pPr>
              <w:rPr>
                <w:rFonts w:cs="Times New Roman"/>
                <w:b/>
              </w:rPr>
            </w:pPr>
          </w:p>
        </w:tc>
      </w:tr>
      <w:tr w:rsidR="00E54595" w:rsidRPr="00C7759C" w14:paraId="0777A304" w14:textId="77777777" w:rsidTr="004A4C6A">
        <w:trPr>
          <w:trHeight w:val="53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3467C03" w14:textId="13B57C84" w:rsidR="00E54595" w:rsidRPr="00F22D0B" w:rsidRDefault="00E54595" w:rsidP="00E54595">
            <w:pPr>
              <w:rPr>
                <w:rFonts w:cs="Times New Roman"/>
                <w:szCs w:val="24"/>
                <w:lang w:val="fr-BE"/>
              </w:rPr>
            </w:pPr>
            <w:r w:rsidRPr="00F22D0B">
              <w:rPr>
                <w:rFonts w:cs="Times New Roman"/>
                <w:szCs w:val="24"/>
                <w:lang w:val="fr-BE"/>
              </w:rPr>
              <w:t xml:space="preserve">1-External </w:t>
            </w:r>
            <w:proofErr w:type="spellStart"/>
            <w:proofErr w:type="gramStart"/>
            <w:r w:rsidRPr="00F22D0B">
              <w:rPr>
                <w:rFonts w:cs="Times New Roman"/>
                <w:szCs w:val="24"/>
                <w:lang w:val="fr-BE"/>
              </w:rPr>
              <w:t>environment</w:t>
            </w:r>
            <w:proofErr w:type="spellEnd"/>
            <w:r w:rsidRPr="00F22D0B">
              <w:rPr>
                <w:rFonts w:cs="Times New Roman"/>
                <w:szCs w:val="24"/>
                <w:lang w:val="fr-BE"/>
              </w:rPr>
              <w:t>:</w:t>
            </w:r>
            <w:proofErr w:type="gramEnd"/>
            <w:r w:rsidRPr="00F22D0B">
              <w:rPr>
                <w:rFonts w:cs="Times New Roman"/>
                <w:szCs w:val="24"/>
                <w:lang w:val="fr-BE"/>
              </w:rPr>
              <w:t xml:space="preserve"> </w:t>
            </w:r>
            <w:proofErr w:type="spellStart"/>
            <w:r w:rsidRPr="00F22D0B">
              <w:rPr>
                <w:rFonts w:cs="Times New Roman"/>
                <w:szCs w:val="24"/>
                <w:lang w:val="fr-BE"/>
              </w:rPr>
              <w:t>Environment</w:t>
            </w:r>
            <w:proofErr w:type="spellEnd"/>
            <w:r w:rsidRPr="00F22D0B">
              <w:rPr>
                <w:rFonts w:cs="Times New Roman"/>
                <w:szCs w:val="24"/>
                <w:lang w:val="fr-BE"/>
              </w:rPr>
              <w:t xml:space="preserve"> and </w:t>
            </w:r>
            <w:proofErr w:type="spellStart"/>
            <w:r w:rsidRPr="00F22D0B">
              <w:rPr>
                <w:rFonts w:cs="Times New Roman"/>
                <w:szCs w:val="24"/>
                <w:lang w:val="fr-BE"/>
              </w:rPr>
              <w:t>Climate</w:t>
            </w:r>
            <w:proofErr w:type="spellEnd"/>
            <w:r w:rsidRPr="00F22D0B">
              <w:rPr>
                <w:rFonts w:cs="Times New Roman"/>
                <w:szCs w:val="24"/>
                <w:lang w:val="fr-BE"/>
              </w:rPr>
              <w:t xml:space="preserve"> Change</w:t>
            </w:r>
          </w:p>
        </w:tc>
        <w:tc>
          <w:tcPr>
            <w:tcW w:w="1984" w:type="dxa"/>
            <w:tcBorders>
              <w:top w:val="single" w:sz="4" w:space="0" w:color="auto"/>
              <w:left w:val="single" w:sz="4" w:space="0" w:color="auto"/>
              <w:bottom w:val="single" w:sz="4" w:space="0" w:color="auto"/>
              <w:right w:val="single" w:sz="4" w:space="0" w:color="auto"/>
            </w:tcBorders>
          </w:tcPr>
          <w:p w14:paraId="721062AB" w14:textId="1FEA5310" w:rsidR="00E54595" w:rsidRDefault="00E54595" w:rsidP="00E54595">
            <w:pPr>
              <w:jc w:val="left"/>
              <w:rPr>
                <w:rFonts w:cs="Times New Roman"/>
                <w:szCs w:val="24"/>
              </w:rPr>
            </w:pPr>
            <w:r>
              <w:rPr>
                <w:rFonts w:cs="Times New Roman"/>
                <w:szCs w:val="24"/>
              </w:rPr>
              <w:t>Limited institutional capacity to transition to</w:t>
            </w:r>
            <w:r w:rsidR="00A81138">
              <w:rPr>
                <w:rFonts w:cs="Times New Roman"/>
                <w:szCs w:val="24"/>
              </w:rPr>
              <w:t>wards</w:t>
            </w:r>
            <w:r>
              <w:rPr>
                <w:rFonts w:cs="Times New Roman"/>
                <w:szCs w:val="24"/>
              </w:rPr>
              <w:t xml:space="preserve"> a greener </w:t>
            </w:r>
            <w:r w:rsidR="00A81138">
              <w:rPr>
                <w:rFonts w:cs="Times New Roman"/>
                <w:szCs w:val="24"/>
              </w:rPr>
              <w:t xml:space="preserve">and more sustainable </w:t>
            </w:r>
            <w:r>
              <w:rPr>
                <w:rFonts w:cs="Times New Roman"/>
                <w:szCs w:val="24"/>
              </w:rPr>
              <w:t>economy</w:t>
            </w:r>
          </w:p>
        </w:tc>
        <w:tc>
          <w:tcPr>
            <w:tcW w:w="1418" w:type="dxa"/>
            <w:tcBorders>
              <w:top w:val="single" w:sz="4" w:space="0" w:color="auto"/>
              <w:left w:val="single" w:sz="4" w:space="0" w:color="auto"/>
              <w:bottom w:val="single" w:sz="4" w:space="0" w:color="auto"/>
              <w:right w:val="single" w:sz="4" w:space="0" w:color="auto"/>
            </w:tcBorders>
          </w:tcPr>
          <w:p w14:paraId="79A62364" w14:textId="4116E591" w:rsidR="00E54595" w:rsidRDefault="00E54595" w:rsidP="00E54595">
            <w:pPr>
              <w:jc w:val="left"/>
              <w:rPr>
                <w:rFonts w:cs="Times New Roman"/>
                <w:szCs w:val="24"/>
              </w:rPr>
            </w:pPr>
            <w:r>
              <w:rPr>
                <w:rFonts w:cs="Times New Roman"/>
                <w:szCs w:val="24"/>
              </w:rPr>
              <w:t>M</w:t>
            </w:r>
          </w:p>
        </w:tc>
        <w:tc>
          <w:tcPr>
            <w:tcW w:w="1275" w:type="dxa"/>
            <w:tcBorders>
              <w:top w:val="single" w:sz="4" w:space="0" w:color="auto"/>
              <w:left w:val="single" w:sz="4" w:space="0" w:color="auto"/>
              <w:bottom w:val="single" w:sz="4" w:space="0" w:color="auto"/>
              <w:right w:val="single" w:sz="4" w:space="0" w:color="auto"/>
            </w:tcBorders>
          </w:tcPr>
          <w:p w14:paraId="75A8BB78" w14:textId="2671BB2D" w:rsidR="00E54595" w:rsidRDefault="00E54595" w:rsidP="00E54595">
            <w:pPr>
              <w:jc w:val="left"/>
              <w:rPr>
                <w:rFonts w:cs="Times New Roman"/>
                <w:szCs w:val="24"/>
              </w:rPr>
            </w:pPr>
            <w:r>
              <w:rPr>
                <w:rFonts w:cs="Times New Roman"/>
                <w:szCs w:val="24"/>
              </w:rPr>
              <w:t>M</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74267C78" w14:textId="7EB90ECE" w:rsidR="00E54595" w:rsidRPr="00C7759C" w:rsidRDefault="00E54595" w:rsidP="00E54595">
            <w:pPr>
              <w:rPr>
                <w:rFonts w:cs="Times New Roman"/>
                <w:szCs w:val="24"/>
              </w:rPr>
            </w:pPr>
            <w:r w:rsidRPr="00C7759C">
              <w:rPr>
                <w:rFonts w:cs="Times New Roman"/>
                <w:szCs w:val="24"/>
              </w:rPr>
              <w:t>Sensitization of public and private stakeholders on the impact of the Carbon Border Adjustment Mechanism</w:t>
            </w:r>
            <w:r>
              <w:rPr>
                <w:rFonts w:cs="Times New Roman"/>
                <w:szCs w:val="24"/>
              </w:rPr>
              <w:t xml:space="preserve"> </w:t>
            </w:r>
            <w:r w:rsidRPr="00C7759C">
              <w:rPr>
                <w:rFonts w:cs="Times New Roman"/>
                <w:szCs w:val="24"/>
              </w:rPr>
              <w:t>for Western Balkan exporters.</w:t>
            </w:r>
          </w:p>
          <w:p w14:paraId="79A169EE" w14:textId="77777777" w:rsidR="004B60C3" w:rsidRDefault="004B60C3" w:rsidP="00E54595">
            <w:pPr>
              <w:rPr>
                <w:rFonts w:cs="Times New Roman"/>
                <w:szCs w:val="24"/>
              </w:rPr>
            </w:pPr>
          </w:p>
          <w:p w14:paraId="0382009B" w14:textId="499F26D4" w:rsidR="00E54595" w:rsidRPr="00C7759C" w:rsidRDefault="00E54595" w:rsidP="00E54595">
            <w:pPr>
              <w:rPr>
                <w:rFonts w:cs="Times New Roman"/>
                <w:szCs w:val="24"/>
              </w:rPr>
            </w:pPr>
            <w:r w:rsidRPr="00C7759C">
              <w:rPr>
                <w:rFonts w:cs="Times New Roman"/>
                <w:szCs w:val="24"/>
              </w:rPr>
              <w:t xml:space="preserve">Inclusion of environmental and climate change consideration when engaging with </w:t>
            </w:r>
            <w:r w:rsidR="004B60C3">
              <w:rPr>
                <w:rFonts w:cs="Times New Roman"/>
                <w:szCs w:val="24"/>
              </w:rPr>
              <w:t>stakeholders</w:t>
            </w:r>
            <w:r w:rsidRPr="00C7759C">
              <w:rPr>
                <w:rFonts w:cs="Times New Roman"/>
                <w:szCs w:val="24"/>
              </w:rPr>
              <w:t xml:space="preserve"> of the CRM</w:t>
            </w:r>
            <w:r w:rsidR="004B60C3">
              <w:rPr>
                <w:rFonts w:cs="Times New Roman"/>
                <w:szCs w:val="24"/>
              </w:rPr>
              <w:t xml:space="preserve"> Action Plan II</w:t>
            </w:r>
            <w:r w:rsidRPr="00C7759C">
              <w:rPr>
                <w:rFonts w:cs="Times New Roman"/>
                <w:szCs w:val="24"/>
              </w:rPr>
              <w:t xml:space="preserve"> </w:t>
            </w:r>
          </w:p>
          <w:p w14:paraId="652CEC71" w14:textId="77777777" w:rsidR="00E54595" w:rsidRPr="00C7759C" w:rsidRDefault="00E54595" w:rsidP="00E54595">
            <w:pPr>
              <w:rPr>
                <w:rFonts w:cs="Times New Roman"/>
                <w:szCs w:val="24"/>
              </w:rPr>
            </w:pPr>
          </w:p>
        </w:tc>
      </w:tr>
      <w:tr w:rsidR="00E54595" w:rsidRPr="00D54FF4" w14:paraId="0F551242" w14:textId="77777777" w:rsidTr="004A4C6A">
        <w:trPr>
          <w:trHeight w:val="53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4DAA2366" w14:textId="77777777" w:rsidR="00E54595" w:rsidRDefault="00E54595" w:rsidP="00E54595">
            <w:pPr>
              <w:rPr>
                <w:rFonts w:cs="Times New Roman"/>
              </w:rPr>
            </w:pPr>
            <w:r w:rsidRPr="00966969">
              <w:rPr>
                <w:rFonts w:cs="Times New Roman"/>
              </w:rPr>
              <w:t>3-People and the organisation</w:t>
            </w:r>
            <w:r>
              <w:rPr>
                <w:rFonts w:cs="Times New Roman"/>
              </w:rPr>
              <w:t xml:space="preserve">: People </w:t>
            </w:r>
          </w:p>
          <w:p w14:paraId="6775BF3E" w14:textId="77777777" w:rsidR="00E54595" w:rsidRPr="00966969" w:rsidRDefault="00E54595" w:rsidP="00E54595">
            <w:pP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14:paraId="2B36ACAE" w14:textId="0212E3AE" w:rsidR="00E54595" w:rsidRDefault="00E54595" w:rsidP="00E54595">
            <w:pPr>
              <w:jc w:val="left"/>
              <w:rPr>
                <w:rFonts w:cs="Times New Roman"/>
                <w:szCs w:val="24"/>
              </w:rPr>
            </w:pPr>
            <w:r>
              <w:rPr>
                <w:rFonts w:cs="Times New Roman"/>
                <w:szCs w:val="24"/>
              </w:rPr>
              <w:t xml:space="preserve">Lack of capacity of customs officers and/or inspectors </w:t>
            </w:r>
          </w:p>
        </w:tc>
        <w:tc>
          <w:tcPr>
            <w:tcW w:w="1418" w:type="dxa"/>
            <w:tcBorders>
              <w:top w:val="single" w:sz="4" w:space="0" w:color="auto"/>
              <w:left w:val="single" w:sz="4" w:space="0" w:color="auto"/>
              <w:bottom w:val="single" w:sz="4" w:space="0" w:color="auto"/>
              <w:right w:val="single" w:sz="4" w:space="0" w:color="auto"/>
            </w:tcBorders>
          </w:tcPr>
          <w:p w14:paraId="6B8B4C0D" w14:textId="57CE361C" w:rsidR="00E54595" w:rsidRDefault="00E54595" w:rsidP="00E54595">
            <w:pPr>
              <w:jc w:val="left"/>
              <w:rPr>
                <w:rFonts w:cs="Times New Roman"/>
                <w:szCs w:val="24"/>
              </w:rPr>
            </w:pPr>
            <w:r>
              <w:rPr>
                <w:rFonts w:cs="Times New Roman"/>
                <w:szCs w:val="24"/>
              </w:rPr>
              <w:t>M</w:t>
            </w:r>
          </w:p>
        </w:tc>
        <w:tc>
          <w:tcPr>
            <w:tcW w:w="1275" w:type="dxa"/>
            <w:tcBorders>
              <w:top w:val="single" w:sz="4" w:space="0" w:color="auto"/>
              <w:left w:val="single" w:sz="4" w:space="0" w:color="auto"/>
              <w:bottom w:val="single" w:sz="4" w:space="0" w:color="auto"/>
              <w:right w:val="single" w:sz="4" w:space="0" w:color="auto"/>
            </w:tcBorders>
          </w:tcPr>
          <w:p w14:paraId="59F17B71" w14:textId="1CFEA824" w:rsidR="00E54595" w:rsidRDefault="00E54595" w:rsidP="00E54595">
            <w:pPr>
              <w:jc w:val="left"/>
              <w:rPr>
                <w:rFonts w:cs="Times New Roman"/>
                <w:szCs w:val="24"/>
              </w:rPr>
            </w:pPr>
            <w:r>
              <w:rPr>
                <w:rFonts w:cs="Times New Roman"/>
                <w:szCs w:val="24"/>
              </w:rPr>
              <w:t>M</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708529FE" w14:textId="36474AD5" w:rsidR="00E54595" w:rsidRDefault="00C362CC" w:rsidP="00E54595">
            <w:pPr>
              <w:rPr>
                <w:rFonts w:cs="Times New Roman"/>
                <w:szCs w:val="24"/>
              </w:rPr>
            </w:pPr>
            <w:r>
              <w:rPr>
                <w:rFonts w:cs="Times New Roman"/>
                <w:szCs w:val="24"/>
              </w:rPr>
              <w:t>N</w:t>
            </w:r>
            <w:r w:rsidR="00E54595">
              <w:rPr>
                <w:rFonts w:cs="Times New Roman"/>
                <w:szCs w:val="24"/>
              </w:rPr>
              <w:t xml:space="preserve">eeds assessments and capacity building activities will be </w:t>
            </w:r>
            <w:r>
              <w:rPr>
                <w:rFonts w:cs="Times New Roman"/>
                <w:szCs w:val="24"/>
              </w:rPr>
              <w:t>provided under</w:t>
            </w:r>
            <w:r w:rsidR="00E54595">
              <w:rPr>
                <w:rFonts w:cs="Times New Roman"/>
                <w:szCs w:val="24"/>
              </w:rPr>
              <w:t xml:space="preserve"> </w:t>
            </w:r>
            <w:r w:rsidR="0056684E">
              <w:rPr>
                <w:rFonts w:cs="Times New Roman"/>
                <w:szCs w:val="24"/>
              </w:rPr>
              <w:t>outcome</w:t>
            </w:r>
            <w:r w:rsidR="00E54595">
              <w:rPr>
                <w:rFonts w:cs="Times New Roman"/>
                <w:szCs w:val="24"/>
              </w:rPr>
              <w:t xml:space="preserve"> </w:t>
            </w:r>
            <w:proofErr w:type="gramStart"/>
            <w:r w:rsidR="00E54595">
              <w:rPr>
                <w:rFonts w:cs="Times New Roman"/>
                <w:szCs w:val="24"/>
              </w:rPr>
              <w:t>1</w:t>
            </w:r>
            <w:proofErr w:type="gramEnd"/>
          </w:p>
          <w:p w14:paraId="20198D79" w14:textId="77777777" w:rsidR="00E54595" w:rsidRDefault="00E54595" w:rsidP="00E54595">
            <w:pPr>
              <w:rPr>
                <w:rFonts w:cs="Times New Roman"/>
                <w:szCs w:val="24"/>
              </w:rPr>
            </w:pPr>
          </w:p>
        </w:tc>
      </w:tr>
      <w:tr w:rsidR="004C63B0" w:rsidRPr="00D54FF4" w14:paraId="30D2A488" w14:textId="77777777" w:rsidTr="004C63B0">
        <w:trPr>
          <w:trHeight w:val="53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8A755DB" w14:textId="77777777" w:rsidR="004C63B0" w:rsidRDefault="004C63B0">
            <w:pPr>
              <w:rPr>
                <w:rFonts w:cs="Times New Roman"/>
              </w:rPr>
            </w:pPr>
            <w:r w:rsidRPr="00966969">
              <w:rPr>
                <w:rFonts w:cs="Times New Roman"/>
              </w:rPr>
              <w:t>3-People and the organisation</w:t>
            </w:r>
            <w:r>
              <w:rPr>
                <w:rFonts w:cs="Times New Roman"/>
              </w:rPr>
              <w:t xml:space="preserve">: People </w:t>
            </w:r>
          </w:p>
          <w:p w14:paraId="4695A7AC" w14:textId="77777777" w:rsidR="004C63B0" w:rsidRPr="00966969" w:rsidRDefault="004C63B0">
            <w:pP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14:paraId="764E47B9" w14:textId="77777777" w:rsidR="004C63B0" w:rsidRDefault="004C63B0">
            <w:pPr>
              <w:jc w:val="left"/>
              <w:rPr>
                <w:rFonts w:cs="Times New Roman"/>
                <w:szCs w:val="24"/>
              </w:rPr>
            </w:pPr>
            <w:r>
              <w:rPr>
                <w:rFonts w:cs="Times New Roman"/>
                <w:szCs w:val="24"/>
              </w:rPr>
              <w:t>Limited capacity in some WB Chambers of commerce</w:t>
            </w:r>
          </w:p>
        </w:tc>
        <w:tc>
          <w:tcPr>
            <w:tcW w:w="1418" w:type="dxa"/>
            <w:tcBorders>
              <w:top w:val="single" w:sz="4" w:space="0" w:color="auto"/>
              <w:left w:val="single" w:sz="4" w:space="0" w:color="auto"/>
              <w:bottom w:val="single" w:sz="4" w:space="0" w:color="auto"/>
              <w:right w:val="single" w:sz="4" w:space="0" w:color="auto"/>
            </w:tcBorders>
          </w:tcPr>
          <w:p w14:paraId="34228708" w14:textId="77777777" w:rsidR="004C63B0" w:rsidRDefault="004C63B0">
            <w:pPr>
              <w:jc w:val="left"/>
              <w:rPr>
                <w:rFonts w:cs="Times New Roman"/>
                <w:szCs w:val="24"/>
              </w:rPr>
            </w:pPr>
            <w:r>
              <w:rPr>
                <w:rFonts w:cs="Times New Roman"/>
                <w:szCs w:val="24"/>
              </w:rPr>
              <w:t>M</w:t>
            </w:r>
          </w:p>
        </w:tc>
        <w:tc>
          <w:tcPr>
            <w:tcW w:w="1275" w:type="dxa"/>
            <w:tcBorders>
              <w:top w:val="single" w:sz="4" w:space="0" w:color="auto"/>
              <w:left w:val="single" w:sz="4" w:space="0" w:color="auto"/>
              <w:bottom w:val="single" w:sz="4" w:space="0" w:color="auto"/>
              <w:right w:val="single" w:sz="4" w:space="0" w:color="auto"/>
            </w:tcBorders>
          </w:tcPr>
          <w:p w14:paraId="2BA31D71" w14:textId="77777777" w:rsidR="004C63B0" w:rsidRDefault="004C63B0">
            <w:pPr>
              <w:jc w:val="left"/>
              <w:rPr>
                <w:rFonts w:cs="Times New Roman"/>
                <w:szCs w:val="24"/>
              </w:rPr>
            </w:pPr>
            <w:r>
              <w:rPr>
                <w:rFonts w:cs="Times New Roman"/>
                <w:szCs w:val="24"/>
              </w:rPr>
              <w:t>M</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2BAD423B" w14:textId="63F437BF" w:rsidR="004C63B0" w:rsidRDefault="004C63B0">
            <w:pPr>
              <w:rPr>
                <w:rFonts w:cs="Times New Roman"/>
              </w:rPr>
            </w:pPr>
            <w:r w:rsidRPr="7861E941">
              <w:rPr>
                <w:rFonts w:cs="Times New Roman"/>
              </w:rPr>
              <w:t xml:space="preserve">Regular project management team meetings to steer and manage implementation. </w:t>
            </w:r>
            <w:r w:rsidR="00B6391A">
              <w:rPr>
                <w:rFonts w:cs="Times New Roman"/>
              </w:rPr>
              <w:t>A</w:t>
            </w:r>
            <w:r w:rsidR="00744B54" w:rsidRPr="7861E941">
              <w:rPr>
                <w:rFonts w:cs="Times New Roman"/>
              </w:rPr>
              <w:t xml:space="preserve"> ROM </w:t>
            </w:r>
            <w:r w:rsidR="00B6391A">
              <w:rPr>
                <w:rFonts w:cs="Times New Roman"/>
              </w:rPr>
              <w:t>could be useful at some stage t</w:t>
            </w:r>
            <w:r w:rsidR="00744B54" w:rsidRPr="7861E941">
              <w:rPr>
                <w:rFonts w:cs="Times New Roman"/>
              </w:rPr>
              <w:t>o</w:t>
            </w:r>
            <w:r w:rsidR="0078485C" w:rsidRPr="7861E941">
              <w:rPr>
                <w:rFonts w:cs="Times New Roman"/>
              </w:rPr>
              <w:t xml:space="preserve"> provide further guidance.</w:t>
            </w:r>
          </w:p>
        </w:tc>
      </w:tr>
      <w:tr w:rsidR="00E54595" w14:paraId="447C5841" w14:textId="77777777" w:rsidTr="004A4C6A">
        <w:trPr>
          <w:trHeight w:val="53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1529EBC" w14:textId="77777777" w:rsidR="00E54595" w:rsidRDefault="00E54595" w:rsidP="00E54595">
            <w:pPr>
              <w:rPr>
                <w:rFonts w:cs="Times New Roman"/>
              </w:rPr>
            </w:pPr>
            <w:r w:rsidRPr="00966969">
              <w:rPr>
                <w:rFonts w:cs="Times New Roman"/>
              </w:rPr>
              <w:lastRenderedPageBreak/>
              <w:t>3-People and the organisation</w:t>
            </w:r>
            <w:r>
              <w:rPr>
                <w:rFonts w:cs="Times New Roman"/>
              </w:rPr>
              <w:t xml:space="preserve">: Organisations </w:t>
            </w:r>
          </w:p>
          <w:p w14:paraId="79432992" w14:textId="77777777" w:rsidR="00E54595" w:rsidRPr="00966969" w:rsidRDefault="00E54595" w:rsidP="00E54595">
            <w:pP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14:paraId="09A08C6F" w14:textId="56ED2952" w:rsidR="00E54595" w:rsidRDefault="00E54595" w:rsidP="00E54595">
            <w:pPr>
              <w:jc w:val="left"/>
              <w:rPr>
                <w:rFonts w:cs="Times New Roman"/>
                <w:szCs w:val="24"/>
              </w:rPr>
            </w:pPr>
            <w:r>
              <w:rPr>
                <w:rFonts w:cs="Times New Roman"/>
                <w:szCs w:val="24"/>
              </w:rPr>
              <w:t xml:space="preserve">Lack of ownership </w:t>
            </w:r>
            <w:r w:rsidR="00DA4EF4">
              <w:rPr>
                <w:rFonts w:cs="Times New Roman"/>
                <w:szCs w:val="24"/>
              </w:rPr>
              <w:t>for some reforms foreseen under CRM Action Plan II</w:t>
            </w:r>
            <w:r>
              <w:rPr>
                <w:rFonts w:cs="Times New Roman"/>
                <w:szCs w:val="24"/>
              </w:rPr>
              <w:t xml:space="preserve"> </w:t>
            </w:r>
          </w:p>
          <w:p w14:paraId="209EC75E" w14:textId="77777777" w:rsidR="00E54595" w:rsidRDefault="00E54595" w:rsidP="00E54595">
            <w:pPr>
              <w:jc w:val="left"/>
              <w:rPr>
                <w:rFonts w:cs="Times New Roman"/>
                <w:szCs w:val="24"/>
              </w:rPr>
            </w:pPr>
          </w:p>
        </w:tc>
        <w:tc>
          <w:tcPr>
            <w:tcW w:w="1418" w:type="dxa"/>
            <w:tcBorders>
              <w:top w:val="single" w:sz="4" w:space="0" w:color="auto"/>
              <w:left w:val="single" w:sz="4" w:space="0" w:color="auto"/>
              <w:bottom w:val="single" w:sz="4" w:space="0" w:color="auto"/>
              <w:right w:val="single" w:sz="4" w:space="0" w:color="auto"/>
            </w:tcBorders>
          </w:tcPr>
          <w:p w14:paraId="06532869" w14:textId="6F3834CB" w:rsidR="00E54595" w:rsidRDefault="00E54595" w:rsidP="00E54595">
            <w:pPr>
              <w:jc w:val="left"/>
              <w:rPr>
                <w:rFonts w:cs="Times New Roman"/>
                <w:szCs w:val="24"/>
              </w:rPr>
            </w:pPr>
            <w:r>
              <w:rPr>
                <w:rFonts w:cs="Times New Roman"/>
                <w:szCs w:val="24"/>
              </w:rPr>
              <w:t>L</w:t>
            </w:r>
          </w:p>
        </w:tc>
        <w:tc>
          <w:tcPr>
            <w:tcW w:w="1275" w:type="dxa"/>
            <w:tcBorders>
              <w:top w:val="single" w:sz="4" w:space="0" w:color="auto"/>
              <w:left w:val="single" w:sz="4" w:space="0" w:color="auto"/>
              <w:bottom w:val="single" w:sz="4" w:space="0" w:color="auto"/>
              <w:right w:val="single" w:sz="4" w:space="0" w:color="auto"/>
            </w:tcBorders>
          </w:tcPr>
          <w:p w14:paraId="3F41EDA8" w14:textId="5A4E51F8" w:rsidR="00E54595" w:rsidRDefault="00E54595" w:rsidP="00E54595">
            <w:pPr>
              <w:jc w:val="left"/>
              <w:rPr>
                <w:rFonts w:cs="Times New Roman"/>
                <w:szCs w:val="24"/>
              </w:rPr>
            </w:pPr>
            <w:r>
              <w:rPr>
                <w:rFonts w:cs="Times New Roman"/>
                <w:szCs w:val="24"/>
              </w:rPr>
              <w:t>M</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5F4711A2" w14:textId="26EC5555" w:rsidR="00E54595" w:rsidRDefault="006D5253" w:rsidP="00E54595">
            <w:pPr>
              <w:rPr>
                <w:rFonts w:cs="Times New Roman"/>
                <w:szCs w:val="24"/>
              </w:rPr>
            </w:pPr>
            <w:r>
              <w:rPr>
                <w:rFonts w:cs="Times New Roman"/>
                <w:szCs w:val="24"/>
              </w:rPr>
              <w:t xml:space="preserve">Technical assistance provided to working groups of the CRM Action Plan II will ensure </w:t>
            </w:r>
            <w:r w:rsidR="00BB2295">
              <w:rPr>
                <w:rFonts w:cs="Times New Roman"/>
                <w:szCs w:val="24"/>
              </w:rPr>
              <w:t>participation of key domestic stakeholders</w:t>
            </w:r>
            <w:r w:rsidR="00E54595">
              <w:rPr>
                <w:rFonts w:cs="Times New Roman"/>
                <w:szCs w:val="24"/>
              </w:rPr>
              <w:t xml:space="preserve"> and foresee exit strategies </w:t>
            </w:r>
            <w:r w:rsidR="00BB2295">
              <w:rPr>
                <w:rFonts w:cs="Times New Roman"/>
                <w:szCs w:val="24"/>
              </w:rPr>
              <w:t>wherever possible</w:t>
            </w:r>
            <w:r w:rsidR="003F6418">
              <w:rPr>
                <w:rFonts w:cs="Times New Roman"/>
                <w:szCs w:val="24"/>
              </w:rPr>
              <w:t>. Support will be provided</w:t>
            </w:r>
            <w:r w:rsidR="00BB6463">
              <w:rPr>
                <w:rFonts w:cs="Times New Roman"/>
                <w:szCs w:val="24"/>
              </w:rPr>
              <w:t xml:space="preserve"> in line with EU accessions negotiation agenda</w:t>
            </w:r>
            <w:r w:rsidR="003F6418">
              <w:rPr>
                <w:rFonts w:cs="Times New Roman"/>
                <w:szCs w:val="24"/>
              </w:rPr>
              <w:t>.</w:t>
            </w:r>
          </w:p>
        </w:tc>
      </w:tr>
      <w:tr w:rsidR="00E54595" w14:paraId="4BE107D7" w14:textId="77777777" w:rsidTr="004A4C6A">
        <w:trPr>
          <w:trHeight w:val="53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12F6AA23" w14:textId="77777777" w:rsidR="00E54595" w:rsidRDefault="00E54595" w:rsidP="00E54595">
            <w:pPr>
              <w:rPr>
                <w:rFonts w:cs="Times New Roman"/>
              </w:rPr>
            </w:pPr>
            <w:r w:rsidRPr="00703B62">
              <w:rPr>
                <w:rFonts w:cs="Times New Roman"/>
              </w:rPr>
              <w:t>4-</w:t>
            </w:r>
            <w:r>
              <w:rPr>
                <w:rFonts w:cs="Times New Roman"/>
              </w:rPr>
              <w:t>L</w:t>
            </w:r>
            <w:r w:rsidRPr="00703B62">
              <w:rPr>
                <w:rFonts w:cs="Times New Roman"/>
              </w:rPr>
              <w:t>egality and regularity aspects</w:t>
            </w:r>
            <w:r>
              <w:rPr>
                <w:rFonts w:cs="Times New Roman"/>
              </w:rPr>
              <w:t xml:space="preserve">: Integrity </w:t>
            </w:r>
          </w:p>
          <w:p w14:paraId="32597693" w14:textId="77777777" w:rsidR="00E54595" w:rsidRPr="00703B62" w:rsidRDefault="00E54595" w:rsidP="00E54595">
            <w:pP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14:paraId="2D26AAA3" w14:textId="1BE9AAD4" w:rsidR="00E54595" w:rsidRDefault="00E54595" w:rsidP="00E54595">
            <w:pPr>
              <w:jc w:val="left"/>
              <w:rPr>
                <w:rFonts w:cs="Times New Roman"/>
                <w:szCs w:val="24"/>
              </w:rPr>
            </w:pPr>
            <w:r>
              <w:rPr>
                <w:rFonts w:cs="Times New Roman"/>
                <w:szCs w:val="24"/>
              </w:rPr>
              <w:t>Risk of corruption</w:t>
            </w:r>
            <w:r w:rsidRPr="00386373">
              <w:rPr>
                <w:rFonts w:cs="Times New Roman"/>
                <w:szCs w:val="24"/>
              </w:rPr>
              <w:t>, fraud or malpractice by the public and/or private sectors undermine partners confidence</w:t>
            </w:r>
          </w:p>
        </w:tc>
        <w:tc>
          <w:tcPr>
            <w:tcW w:w="1418" w:type="dxa"/>
            <w:tcBorders>
              <w:top w:val="single" w:sz="4" w:space="0" w:color="auto"/>
              <w:left w:val="single" w:sz="4" w:space="0" w:color="auto"/>
              <w:bottom w:val="single" w:sz="4" w:space="0" w:color="auto"/>
              <w:right w:val="single" w:sz="4" w:space="0" w:color="auto"/>
            </w:tcBorders>
          </w:tcPr>
          <w:p w14:paraId="3F6D02C3" w14:textId="6E4B3DA3" w:rsidR="00E54595" w:rsidRDefault="00E54595" w:rsidP="00E54595">
            <w:pPr>
              <w:jc w:val="left"/>
              <w:rPr>
                <w:rFonts w:cs="Times New Roman"/>
                <w:szCs w:val="24"/>
              </w:rPr>
            </w:pPr>
            <w:r>
              <w:rPr>
                <w:rFonts w:cs="Times New Roman"/>
                <w:szCs w:val="24"/>
              </w:rPr>
              <w:t>M</w:t>
            </w:r>
          </w:p>
        </w:tc>
        <w:tc>
          <w:tcPr>
            <w:tcW w:w="1275" w:type="dxa"/>
            <w:tcBorders>
              <w:top w:val="single" w:sz="4" w:space="0" w:color="auto"/>
              <w:left w:val="single" w:sz="4" w:space="0" w:color="auto"/>
              <w:bottom w:val="single" w:sz="4" w:space="0" w:color="auto"/>
              <w:right w:val="single" w:sz="4" w:space="0" w:color="auto"/>
            </w:tcBorders>
          </w:tcPr>
          <w:p w14:paraId="540FBA9F" w14:textId="57888003" w:rsidR="00E54595" w:rsidRDefault="00E54595" w:rsidP="00E54595">
            <w:pPr>
              <w:jc w:val="left"/>
              <w:rPr>
                <w:rFonts w:cs="Times New Roman"/>
                <w:szCs w:val="24"/>
              </w:rPr>
            </w:pPr>
            <w:r>
              <w:rPr>
                <w:rFonts w:cs="Times New Roman"/>
                <w:szCs w:val="24"/>
              </w:rPr>
              <w:t>H</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7A77400C" w14:textId="2AA3DF37" w:rsidR="00E54595" w:rsidRDefault="00E54595" w:rsidP="00E54595">
            <w:pPr>
              <w:rPr>
                <w:rFonts w:cs="Times New Roman"/>
                <w:szCs w:val="24"/>
              </w:rPr>
            </w:pPr>
            <w:r>
              <w:rPr>
                <w:rFonts w:cs="Times New Roman"/>
                <w:szCs w:val="24"/>
              </w:rPr>
              <w:t>The a</w:t>
            </w:r>
            <w:r w:rsidRPr="00386373">
              <w:rPr>
                <w:rFonts w:cs="Times New Roman"/>
                <w:szCs w:val="24"/>
              </w:rPr>
              <w:t>dherence to international procurement standards, technical and financial audits and evaluations can significantly reduce the scope of corruption and fraud. Digitalisation of government services</w:t>
            </w:r>
            <w:r>
              <w:rPr>
                <w:rFonts w:cs="Times New Roman"/>
                <w:szCs w:val="24"/>
              </w:rPr>
              <w:t xml:space="preserve"> for the exchange of trade data</w:t>
            </w:r>
            <w:r w:rsidRPr="00386373">
              <w:rPr>
                <w:rFonts w:cs="Times New Roman"/>
                <w:szCs w:val="24"/>
              </w:rPr>
              <w:t xml:space="preserve"> will</w:t>
            </w:r>
            <w:r>
              <w:rPr>
                <w:rFonts w:cs="Times New Roman"/>
                <w:szCs w:val="24"/>
              </w:rPr>
              <w:t xml:space="preserve"> increase</w:t>
            </w:r>
            <w:r w:rsidRPr="00386373">
              <w:rPr>
                <w:rFonts w:cs="Times New Roman"/>
                <w:szCs w:val="24"/>
              </w:rPr>
              <w:t xml:space="preserve"> transparency and accountability.</w:t>
            </w:r>
          </w:p>
        </w:tc>
      </w:tr>
      <w:tr w:rsidR="00E54595" w:rsidRPr="00886C0E" w14:paraId="0195A2F7" w14:textId="77777777" w:rsidTr="004A4C6A">
        <w:trPr>
          <w:trHeight w:val="53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5F0CE160" w14:textId="64998C2F" w:rsidR="00E54595" w:rsidRDefault="00E54595" w:rsidP="00E54595">
            <w:pPr>
              <w:rPr>
                <w:rFonts w:cs="Times New Roman"/>
              </w:rPr>
            </w:pPr>
            <w:r>
              <w:rPr>
                <w:rFonts w:cs="Times New Roman"/>
              </w:rPr>
              <w:t>5-</w:t>
            </w:r>
            <w:r w:rsidRPr="1F640A3E">
              <w:rPr>
                <w:rFonts w:cs="Times New Roman"/>
              </w:rPr>
              <w:t xml:space="preserve">Communication and information </w:t>
            </w:r>
          </w:p>
        </w:tc>
        <w:tc>
          <w:tcPr>
            <w:tcW w:w="1984" w:type="dxa"/>
            <w:tcBorders>
              <w:top w:val="single" w:sz="4" w:space="0" w:color="auto"/>
              <w:left w:val="single" w:sz="4" w:space="0" w:color="auto"/>
              <w:bottom w:val="single" w:sz="4" w:space="0" w:color="auto"/>
              <w:right w:val="single" w:sz="4" w:space="0" w:color="auto"/>
            </w:tcBorders>
          </w:tcPr>
          <w:p w14:paraId="0C2F178A" w14:textId="749D50C1" w:rsidR="00E54595" w:rsidRDefault="00DE872B" w:rsidP="00E54595">
            <w:pPr>
              <w:jc w:val="left"/>
              <w:rPr>
                <w:rFonts w:cs="Times New Roman"/>
              </w:rPr>
            </w:pPr>
            <w:r w:rsidRPr="29D17460">
              <w:rPr>
                <w:rFonts w:cs="Times New Roman"/>
              </w:rPr>
              <w:t xml:space="preserve">Risk of </w:t>
            </w:r>
            <w:r w:rsidR="7901D296" w:rsidRPr="29D17460">
              <w:rPr>
                <w:rFonts w:cs="Times New Roman"/>
              </w:rPr>
              <w:t>disinformation and foreign information manipulation</w:t>
            </w:r>
            <w:r w:rsidR="7901D296" w:rsidRPr="1F640A3E">
              <w:rPr>
                <w:rFonts w:cs="Times New Roman"/>
              </w:rPr>
              <w:t>.</w:t>
            </w:r>
          </w:p>
        </w:tc>
        <w:tc>
          <w:tcPr>
            <w:tcW w:w="1418" w:type="dxa"/>
            <w:tcBorders>
              <w:top w:val="single" w:sz="4" w:space="0" w:color="auto"/>
              <w:left w:val="single" w:sz="4" w:space="0" w:color="auto"/>
              <w:bottom w:val="single" w:sz="4" w:space="0" w:color="auto"/>
              <w:right w:val="single" w:sz="4" w:space="0" w:color="auto"/>
            </w:tcBorders>
          </w:tcPr>
          <w:p w14:paraId="05A6BFAF" w14:textId="35B90547" w:rsidR="00E54595" w:rsidRDefault="00E54595" w:rsidP="00E54595">
            <w:pPr>
              <w:jc w:val="left"/>
              <w:rPr>
                <w:rFonts w:cs="Times New Roman"/>
                <w:szCs w:val="24"/>
              </w:rPr>
            </w:pPr>
            <w:r>
              <w:rPr>
                <w:rFonts w:cs="Times New Roman"/>
                <w:szCs w:val="24"/>
              </w:rPr>
              <w:t>M</w:t>
            </w:r>
          </w:p>
        </w:tc>
        <w:tc>
          <w:tcPr>
            <w:tcW w:w="1275" w:type="dxa"/>
            <w:tcBorders>
              <w:top w:val="single" w:sz="4" w:space="0" w:color="auto"/>
              <w:left w:val="single" w:sz="4" w:space="0" w:color="auto"/>
              <w:bottom w:val="single" w:sz="4" w:space="0" w:color="auto"/>
              <w:right w:val="single" w:sz="4" w:space="0" w:color="auto"/>
            </w:tcBorders>
          </w:tcPr>
          <w:p w14:paraId="6914590A" w14:textId="160C4857" w:rsidR="00E54595" w:rsidRDefault="00E54595" w:rsidP="00E54595">
            <w:pPr>
              <w:jc w:val="left"/>
              <w:rPr>
                <w:rFonts w:cs="Times New Roman"/>
                <w:szCs w:val="24"/>
              </w:rPr>
            </w:pPr>
            <w:r>
              <w:rPr>
                <w:rFonts w:cs="Times New Roman"/>
                <w:szCs w:val="24"/>
              </w:rPr>
              <w:t>M</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4CA8C4E0" w14:textId="0090B34F" w:rsidR="00E54595" w:rsidRPr="00886C0E" w:rsidRDefault="45625E8C" w:rsidP="00E54595">
            <w:pPr>
              <w:pStyle w:val="Default"/>
              <w:jc w:val="both"/>
              <w:rPr>
                <w:rFonts w:ascii="Times New Roman" w:eastAsiaTheme="minorEastAsia" w:hAnsi="Times New Roman" w:cs="Times New Roman"/>
                <w:color w:val="auto"/>
                <w:lang w:val="en-IE"/>
              </w:rPr>
            </w:pPr>
            <w:r w:rsidRPr="1F640A3E">
              <w:rPr>
                <w:rFonts w:ascii="Times New Roman" w:eastAsiaTheme="minorEastAsia" w:hAnsi="Times New Roman" w:cs="Times New Roman"/>
                <w:color w:val="auto"/>
                <w:lang w:val="en-IE"/>
              </w:rPr>
              <w:t>DG NEAR with its EU Delegations and EU Office, together with the EEAS will work together supporting</w:t>
            </w:r>
            <w:r w:rsidRPr="0D035BDD">
              <w:rPr>
                <w:rFonts w:ascii="Times New Roman" w:eastAsiaTheme="minorEastAsia" w:hAnsi="Times New Roman" w:cs="Times New Roman"/>
                <w:color w:val="auto"/>
                <w:lang w:val="en-IE"/>
              </w:rPr>
              <w:t xml:space="preserve"> our implementing partners to communicate timely</w:t>
            </w:r>
            <w:r w:rsidR="79EBE571" w:rsidRPr="6E12D2CA">
              <w:rPr>
                <w:rFonts w:ascii="Times New Roman" w:eastAsiaTheme="minorEastAsia" w:hAnsi="Times New Roman" w:cs="Times New Roman"/>
                <w:color w:val="auto"/>
                <w:lang w:val="en-IE"/>
              </w:rPr>
              <w:t xml:space="preserve"> the benefits of a CRM for the WB</w:t>
            </w:r>
            <w:r w:rsidR="79EBE571" w:rsidRPr="78C208E3">
              <w:rPr>
                <w:rFonts w:ascii="Times New Roman" w:eastAsiaTheme="minorEastAsia" w:hAnsi="Times New Roman" w:cs="Times New Roman"/>
                <w:color w:val="auto"/>
                <w:lang w:val="en-IE"/>
              </w:rPr>
              <w:t xml:space="preserve"> people</w:t>
            </w:r>
            <w:r w:rsidR="79EBE571" w:rsidRPr="47AE52F4">
              <w:rPr>
                <w:rFonts w:ascii="Times New Roman" w:eastAsiaTheme="minorEastAsia" w:hAnsi="Times New Roman" w:cs="Times New Roman"/>
                <w:color w:val="auto"/>
                <w:lang w:val="en-IE"/>
              </w:rPr>
              <w:t>, EU support and</w:t>
            </w:r>
            <w:r w:rsidR="79EBE571" w:rsidRPr="78C208E3">
              <w:rPr>
                <w:rFonts w:ascii="Times New Roman" w:eastAsiaTheme="minorEastAsia" w:hAnsi="Times New Roman" w:cs="Times New Roman"/>
                <w:color w:val="auto"/>
                <w:lang w:val="en-IE"/>
              </w:rPr>
              <w:t xml:space="preserve"> the </w:t>
            </w:r>
            <w:r w:rsidR="79EBE571" w:rsidRPr="3F37D85A">
              <w:rPr>
                <w:rFonts w:ascii="Times New Roman" w:eastAsiaTheme="minorEastAsia" w:hAnsi="Times New Roman" w:cs="Times New Roman"/>
                <w:color w:val="auto"/>
                <w:lang w:val="en-IE"/>
              </w:rPr>
              <w:t>benefits of joining the EU</w:t>
            </w:r>
            <w:r w:rsidR="79EBE571" w:rsidRPr="27420C50">
              <w:rPr>
                <w:rFonts w:ascii="Times New Roman" w:eastAsiaTheme="minorEastAsia" w:hAnsi="Times New Roman" w:cs="Times New Roman"/>
                <w:color w:val="auto"/>
                <w:lang w:val="en-IE"/>
              </w:rPr>
              <w:t>.</w:t>
            </w:r>
          </w:p>
        </w:tc>
      </w:tr>
    </w:tbl>
    <w:p w14:paraId="3AE8A23B" w14:textId="77777777" w:rsidR="00C60BF9" w:rsidRDefault="00C60BF9" w:rsidP="00C60BF9">
      <w:pPr>
        <w:rPr>
          <w:b/>
          <w:szCs w:val="24"/>
        </w:rPr>
      </w:pPr>
    </w:p>
    <w:p w14:paraId="26A35809" w14:textId="77777777" w:rsidR="005B2F62" w:rsidRPr="00162DD2" w:rsidRDefault="005B2F62" w:rsidP="005B2F62">
      <w:pPr>
        <w:rPr>
          <w:rFonts w:cs="Times New Roman"/>
          <w:b/>
          <w:color w:val="0D0D0D" w:themeColor="text1" w:themeTint="F2"/>
        </w:rPr>
      </w:pPr>
      <w:r w:rsidRPr="00162DD2">
        <w:rPr>
          <w:rFonts w:cs="Times New Roman"/>
          <w:b/>
          <w:color w:val="0D0D0D" w:themeColor="text1" w:themeTint="F2"/>
        </w:rPr>
        <w:t>External Assumptions</w:t>
      </w:r>
    </w:p>
    <w:p w14:paraId="58907AB9" w14:textId="77777777" w:rsidR="009A0271" w:rsidRDefault="009A0271" w:rsidP="005B2F62">
      <w:pPr>
        <w:rPr>
          <w:rFonts w:cs="Times New Roman"/>
          <w:b/>
          <w:color w:val="0D0D0D" w:themeColor="text1" w:themeTint="F2"/>
        </w:rPr>
      </w:pPr>
    </w:p>
    <w:p w14:paraId="2F4113CB" w14:textId="7852D77F" w:rsidR="009A0271" w:rsidRPr="004A4C6A" w:rsidRDefault="009A0271" w:rsidP="009A0271">
      <w:pPr>
        <w:rPr>
          <w:rFonts w:cs="Times New Roman"/>
          <w:color w:val="0D0D0D" w:themeColor="text1" w:themeTint="F2"/>
        </w:rPr>
      </w:pPr>
      <w:proofErr w:type="gramStart"/>
      <w:r w:rsidRPr="004A4C6A">
        <w:rPr>
          <w:rFonts w:cs="Times New Roman"/>
          <w:color w:val="0D0D0D" w:themeColor="text1" w:themeTint="F2"/>
        </w:rPr>
        <w:t>In order to</w:t>
      </w:r>
      <w:proofErr w:type="gramEnd"/>
      <w:r w:rsidRPr="004A4C6A">
        <w:rPr>
          <w:rFonts w:cs="Times New Roman"/>
          <w:color w:val="0D0D0D" w:themeColor="text1" w:themeTint="F2"/>
        </w:rPr>
        <w:t xml:space="preserve"> achieve the expected results of this action it is assumed that </w:t>
      </w:r>
      <w:r w:rsidR="00A549E7">
        <w:rPr>
          <w:rFonts w:cs="Times New Roman"/>
          <w:color w:val="0D0D0D" w:themeColor="text1" w:themeTint="F2"/>
        </w:rPr>
        <w:t>beneficiaries</w:t>
      </w:r>
      <w:r w:rsidRPr="004A4C6A">
        <w:rPr>
          <w:rFonts w:cs="Times New Roman"/>
          <w:color w:val="0D0D0D" w:themeColor="text1" w:themeTint="F2"/>
        </w:rPr>
        <w:t xml:space="preserve"> will remain committed to implement the CRM A</w:t>
      </w:r>
      <w:r w:rsidR="00A549E7">
        <w:rPr>
          <w:rFonts w:cs="Times New Roman"/>
          <w:color w:val="0D0D0D" w:themeColor="text1" w:themeTint="F2"/>
        </w:rPr>
        <w:t xml:space="preserve">ction </w:t>
      </w:r>
      <w:r w:rsidRPr="004A4C6A">
        <w:rPr>
          <w:rFonts w:cs="Times New Roman"/>
          <w:color w:val="0D0D0D" w:themeColor="text1" w:themeTint="F2"/>
        </w:rPr>
        <w:t>P</w:t>
      </w:r>
      <w:r w:rsidR="00A549E7">
        <w:rPr>
          <w:rFonts w:cs="Times New Roman"/>
          <w:color w:val="0D0D0D" w:themeColor="text1" w:themeTint="F2"/>
        </w:rPr>
        <w:t>lan</w:t>
      </w:r>
      <w:r w:rsidRPr="004A4C6A">
        <w:rPr>
          <w:rFonts w:cs="Times New Roman"/>
          <w:color w:val="0D0D0D" w:themeColor="text1" w:themeTint="F2"/>
        </w:rPr>
        <w:t xml:space="preserve"> 202</w:t>
      </w:r>
      <w:r w:rsidR="00A549E7">
        <w:rPr>
          <w:rFonts w:cs="Times New Roman"/>
          <w:color w:val="0D0D0D" w:themeColor="text1" w:themeTint="F2"/>
        </w:rPr>
        <w:t>5</w:t>
      </w:r>
      <w:r w:rsidRPr="004A4C6A">
        <w:rPr>
          <w:rFonts w:cs="Times New Roman"/>
          <w:color w:val="0D0D0D" w:themeColor="text1" w:themeTint="F2"/>
        </w:rPr>
        <w:t>-202</w:t>
      </w:r>
      <w:r w:rsidR="00A549E7">
        <w:rPr>
          <w:rFonts w:cs="Times New Roman"/>
          <w:color w:val="0D0D0D" w:themeColor="text1" w:themeTint="F2"/>
        </w:rPr>
        <w:t>8</w:t>
      </w:r>
      <w:r w:rsidRPr="004A4C6A">
        <w:rPr>
          <w:rFonts w:cs="Times New Roman"/>
          <w:color w:val="0D0D0D" w:themeColor="text1" w:themeTint="F2"/>
        </w:rPr>
        <w:t>. This entails cooperating in good faith and exchanging information in different areas of</w:t>
      </w:r>
      <w:r>
        <w:rPr>
          <w:rFonts w:cs="Times New Roman"/>
          <w:color w:val="0D0D0D" w:themeColor="text1" w:themeTint="F2"/>
        </w:rPr>
        <w:t xml:space="preserve"> </w:t>
      </w:r>
      <w:r w:rsidR="00A549E7">
        <w:rPr>
          <w:rFonts w:cs="Times New Roman"/>
          <w:color w:val="0D0D0D" w:themeColor="text1" w:themeTint="F2"/>
        </w:rPr>
        <w:t>work</w:t>
      </w:r>
      <w:r w:rsidRPr="004A4C6A">
        <w:rPr>
          <w:rFonts w:cs="Times New Roman"/>
          <w:color w:val="0D0D0D" w:themeColor="text1" w:themeTint="F2"/>
        </w:rPr>
        <w:t>. Equally</w:t>
      </w:r>
      <w:r w:rsidR="00656CB6">
        <w:rPr>
          <w:rFonts w:cs="Times New Roman"/>
          <w:color w:val="0D0D0D" w:themeColor="text1" w:themeTint="F2"/>
        </w:rPr>
        <w:t>,</w:t>
      </w:r>
      <w:r w:rsidRPr="004A4C6A">
        <w:rPr>
          <w:rFonts w:cs="Times New Roman"/>
          <w:color w:val="0D0D0D" w:themeColor="text1" w:themeTint="F2"/>
        </w:rPr>
        <w:t xml:space="preserve"> the intervention logic relies on the assumption that </w:t>
      </w:r>
      <w:r w:rsidR="00810CE8">
        <w:rPr>
          <w:rFonts w:cs="Times New Roman"/>
          <w:color w:val="0D0D0D" w:themeColor="text1" w:themeTint="F2"/>
        </w:rPr>
        <w:t>beneficiaries</w:t>
      </w:r>
      <w:r w:rsidRPr="004A4C6A">
        <w:rPr>
          <w:rFonts w:cs="Times New Roman"/>
          <w:color w:val="0D0D0D" w:themeColor="text1" w:themeTint="F2"/>
        </w:rPr>
        <w:t xml:space="preserve"> remain actively determined to advance internal reforms </w:t>
      </w:r>
      <w:proofErr w:type="gramStart"/>
      <w:r w:rsidRPr="004A4C6A">
        <w:rPr>
          <w:rFonts w:cs="Times New Roman"/>
          <w:color w:val="0D0D0D" w:themeColor="text1" w:themeTint="F2"/>
        </w:rPr>
        <w:t>in light of</w:t>
      </w:r>
      <w:proofErr w:type="gramEnd"/>
      <w:r w:rsidRPr="004A4C6A">
        <w:rPr>
          <w:rFonts w:cs="Times New Roman"/>
          <w:color w:val="0D0D0D" w:themeColor="text1" w:themeTint="F2"/>
        </w:rPr>
        <w:t xml:space="preserve"> their accession to the EU</w:t>
      </w:r>
      <w:r w:rsidR="002531C5">
        <w:rPr>
          <w:rFonts w:cs="Times New Roman"/>
          <w:color w:val="0D0D0D" w:themeColor="text1" w:themeTint="F2"/>
        </w:rPr>
        <w:t xml:space="preserve"> and that </w:t>
      </w:r>
      <w:r w:rsidR="00240BB2">
        <w:rPr>
          <w:rFonts w:cs="Times New Roman"/>
          <w:color w:val="0D0D0D" w:themeColor="text1" w:themeTint="F2"/>
        </w:rPr>
        <w:t>individual</w:t>
      </w:r>
      <w:r w:rsidR="002531C5">
        <w:rPr>
          <w:rFonts w:cs="Times New Roman"/>
          <w:color w:val="0D0D0D" w:themeColor="text1" w:themeTint="F2"/>
        </w:rPr>
        <w:t xml:space="preserve"> political </w:t>
      </w:r>
      <w:r w:rsidR="00240BB2">
        <w:rPr>
          <w:rFonts w:cs="Times New Roman"/>
          <w:color w:val="0D0D0D" w:themeColor="text1" w:themeTint="F2"/>
        </w:rPr>
        <w:t>issues</w:t>
      </w:r>
      <w:r w:rsidR="002531C5">
        <w:rPr>
          <w:rFonts w:cs="Times New Roman"/>
          <w:color w:val="0D0D0D" w:themeColor="text1" w:themeTint="F2"/>
        </w:rPr>
        <w:t xml:space="preserve"> do not block </w:t>
      </w:r>
      <w:r w:rsidR="00E417ED">
        <w:rPr>
          <w:rFonts w:cs="Times New Roman"/>
          <w:color w:val="0D0D0D" w:themeColor="text1" w:themeTint="F2"/>
        </w:rPr>
        <w:t>the regional momentum.</w:t>
      </w:r>
      <w:r w:rsidR="002531C5">
        <w:rPr>
          <w:rFonts w:cs="Times New Roman"/>
          <w:color w:val="0D0D0D" w:themeColor="text1" w:themeTint="F2"/>
        </w:rPr>
        <w:t xml:space="preserve"> </w:t>
      </w:r>
    </w:p>
    <w:p w14:paraId="7FBC4BD1" w14:textId="77777777" w:rsidR="009A0271" w:rsidRPr="00162DD2" w:rsidRDefault="009A0271" w:rsidP="005B2F62">
      <w:pPr>
        <w:rPr>
          <w:rFonts w:cs="Times New Roman"/>
          <w:b/>
          <w:color w:val="0D0D0D" w:themeColor="text1" w:themeTint="F2"/>
        </w:rPr>
      </w:pPr>
    </w:p>
    <w:p w14:paraId="637508DD" w14:textId="6AA43000" w:rsidR="005B2F62" w:rsidRDefault="005B2F62" w:rsidP="00C60BF9">
      <w:pPr>
        <w:rPr>
          <w:b/>
          <w:szCs w:val="24"/>
        </w:rPr>
        <w:sectPr w:rsidR="005B2F62" w:rsidSect="009D4EF1">
          <w:headerReference w:type="even" r:id="rId14"/>
          <w:headerReference w:type="default" r:id="rId15"/>
          <w:footerReference w:type="even" r:id="rId16"/>
          <w:footerReference w:type="default" r:id="rId17"/>
          <w:headerReference w:type="first" r:id="rId18"/>
          <w:footerReference w:type="first" r:id="rId19"/>
          <w:pgSz w:w="11906" w:h="16838"/>
          <w:pgMar w:top="993" w:right="720" w:bottom="426" w:left="720" w:header="510" w:footer="483" w:gutter="0"/>
          <w:cols w:space="708"/>
          <w:docGrid w:linePitch="360"/>
        </w:sectPr>
      </w:pPr>
    </w:p>
    <w:p w14:paraId="47D809D3" w14:textId="77777777" w:rsidR="00D370B8" w:rsidRPr="003C0CD7" w:rsidRDefault="00D370B8" w:rsidP="00B26539">
      <w:pPr>
        <w:pStyle w:val="Heading1"/>
        <w:numPr>
          <w:ilvl w:val="1"/>
          <w:numId w:val="1"/>
        </w:numPr>
      </w:pPr>
      <w:bookmarkStart w:id="208" w:name="_Ref58688204"/>
      <w:bookmarkStart w:id="209" w:name="_Ref58688290"/>
      <w:bookmarkStart w:id="210" w:name="_Toc73090750"/>
      <w:r w:rsidRPr="003C0CD7">
        <w:lastRenderedPageBreak/>
        <w:t>Indicative Logical Framework Matrix</w:t>
      </w:r>
      <w:bookmarkEnd w:id="208"/>
      <w:bookmarkEnd w:id="209"/>
      <w:bookmarkEnd w:id="210"/>
      <w:r w:rsidRPr="003C0CD7">
        <w:t xml:space="preserve"> </w:t>
      </w:r>
    </w:p>
    <w:p w14:paraId="14BA5622" w14:textId="422F987D" w:rsidR="00D370B8" w:rsidRPr="003C0CD7" w:rsidRDefault="00D370B8" w:rsidP="00D370B8">
      <w:pPr>
        <w:keepNext/>
      </w:pPr>
    </w:p>
    <w:p w14:paraId="197676C8" w14:textId="77777777" w:rsidR="00016D55" w:rsidRDefault="00016D55" w:rsidP="00D370B8"/>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3550"/>
        <w:gridCol w:w="2413"/>
        <w:gridCol w:w="1701"/>
        <w:gridCol w:w="1439"/>
        <w:gridCol w:w="1809"/>
        <w:gridCol w:w="2657"/>
      </w:tblGrid>
      <w:tr w:rsidR="00016D55" w:rsidRPr="00016D55" w14:paraId="36BE87A9" w14:textId="77777777" w:rsidTr="00016D55">
        <w:trPr>
          <w:trHeight w:val="719"/>
          <w:tblHeader/>
        </w:trPr>
        <w:tc>
          <w:tcPr>
            <w:tcW w:w="597" w:type="pct"/>
            <w:tcBorders>
              <w:bottom w:val="single" w:sz="4" w:space="0" w:color="auto"/>
            </w:tcBorders>
            <w:shd w:val="clear" w:color="auto" w:fill="BFBFBF" w:themeFill="background1" w:themeFillShade="BF"/>
          </w:tcPr>
          <w:p w14:paraId="24FB6830" w14:textId="77777777" w:rsidR="00016D55" w:rsidRPr="00016D55" w:rsidRDefault="00016D55" w:rsidP="00016D55">
            <w:pPr>
              <w:rPr>
                <w:b/>
                <w:bCs/>
              </w:rPr>
            </w:pPr>
            <w:r w:rsidRPr="00016D55">
              <w:rPr>
                <w:b/>
                <w:bCs/>
              </w:rPr>
              <w:lastRenderedPageBreak/>
              <w:t>Results</w:t>
            </w:r>
          </w:p>
        </w:tc>
        <w:tc>
          <w:tcPr>
            <w:tcW w:w="1152" w:type="pct"/>
            <w:tcBorders>
              <w:bottom w:val="single" w:sz="4" w:space="0" w:color="auto"/>
            </w:tcBorders>
            <w:shd w:val="clear" w:color="auto" w:fill="BFBFBF" w:themeFill="background1" w:themeFillShade="BF"/>
          </w:tcPr>
          <w:p w14:paraId="5BD8BED2" w14:textId="77777777" w:rsidR="00016D55" w:rsidRPr="00016D55" w:rsidRDefault="00016D55" w:rsidP="00016D55">
            <w:pPr>
              <w:rPr>
                <w:b/>
              </w:rPr>
            </w:pPr>
            <w:r w:rsidRPr="00016D55">
              <w:rPr>
                <w:b/>
              </w:rPr>
              <w:t>Results chain:</w:t>
            </w:r>
          </w:p>
          <w:p w14:paraId="251D5FC6" w14:textId="77777777" w:rsidR="00016D55" w:rsidRPr="00016D55" w:rsidRDefault="00016D55" w:rsidP="00016D55">
            <w:pPr>
              <w:rPr>
                <w:b/>
              </w:rPr>
            </w:pPr>
            <w:r w:rsidRPr="00016D55">
              <w:rPr>
                <w:b/>
              </w:rPr>
              <w:t xml:space="preserve">Main expected results </w:t>
            </w:r>
          </w:p>
          <w:p w14:paraId="7C34B100" w14:textId="77777777" w:rsidR="00016D55" w:rsidRPr="00016D55" w:rsidRDefault="00016D55" w:rsidP="00DC26F8">
            <w:pPr>
              <w:rPr>
                <w:b/>
              </w:rPr>
            </w:pPr>
          </w:p>
        </w:tc>
        <w:tc>
          <w:tcPr>
            <w:tcW w:w="783" w:type="pct"/>
            <w:tcBorders>
              <w:bottom w:val="single" w:sz="4" w:space="0" w:color="auto"/>
            </w:tcBorders>
            <w:shd w:val="clear" w:color="auto" w:fill="BFBFBF" w:themeFill="background1" w:themeFillShade="BF"/>
          </w:tcPr>
          <w:p w14:paraId="0C77383A" w14:textId="77777777" w:rsidR="00016D55" w:rsidRPr="00016D55" w:rsidRDefault="00016D55" w:rsidP="00016D55">
            <w:pPr>
              <w:rPr>
                <w:b/>
              </w:rPr>
            </w:pPr>
            <w:r w:rsidRPr="00016D55">
              <w:rPr>
                <w:b/>
              </w:rPr>
              <w:t xml:space="preserve">Indicators </w:t>
            </w:r>
          </w:p>
          <w:p w14:paraId="54B4B9D9" w14:textId="77777777" w:rsidR="00016D55" w:rsidRPr="00016D55" w:rsidRDefault="00016D55" w:rsidP="00016D55">
            <w:pPr>
              <w:rPr>
                <w:b/>
              </w:rPr>
            </w:pPr>
          </w:p>
        </w:tc>
        <w:tc>
          <w:tcPr>
            <w:tcW w:w="552" w:type="pct"/>
            <w:tcBorders>
              <w:bottom w:val="single" w:sz="4" w:space="0" w:color="auto"/>
            </w:tcBorders>
            <w:shd w:val="clear" w:color="auto" w:fill="BFBFBF" w:themeFill="background1" w:themeFillShade="BF"/>
          </w:tcPr>
          <w:p w14:paraId="344A9D30" w14:textId="77777777" w:rsidR="00016D55" w:rsidRPr="00016D55" w:rsidRDefault="00016D55" w:rsidP="00016D55">
            <w:pPr>
              <w:rPr>
                <w:b/>
              </w:rPr>
            </w:pPr>
            <w:r w:rsidRPr="00016D55">
              <w:rPr>
                <w:b/>
              </w:rPr>
              <w:t>Baselines</w:t>
            </w:r>
          </w:p>
          <w:p w14:paraId="2D7D0EBC" w14:textId="77777777" w:rsidR="00016D55" w:rsidRPr="00016D55" w:rsidRDefault="00016D55" w:rsidP="00016D55">
            <w:pPr>
              <w:rPr>
                <w:b/>
              </w:rPr>
            </w:pPr>
            <w:r w:rsidRPr="00016D55">
              <w:rPr>
                <w:b/>
              </w:rPr>
              <w:t>(values and years)</w:t>
            </w:r>
          </w:p>
        </w:tc>
        <w:tc>
          <w:tcPr>
            <w:tcW w:w="467" w:type="pct"/>
            <w:tcBorders>
              <w:bottom w:val="single" w:sz="4" w:space="0" w:color="auto"/>
            </w:tcBorders>
            <w:shd w:val="clear" w:color="auto" w:fill="BFBFBF" w:themeFill="background1" w:themeFillShade="BF"/>
          </w:tcPr>
          <w:p w14:paraId="31AB0309" w14:textId="77777777" w:rsidR="00016D55" w:rsidRPr="00016D55" w:rsidRDefault="00016D55" w:rsidP="00016D55">
            <w:pPr>
              <w:rPr>
                <w:b/>
              </w:rPr>
            </w:pPr>
            <w:r w:rsidRPr="00016D55">
              <w:rPr>
                <w:b/>
              </w:rPr>
              <w:t>Targets</w:t>
            </w:r>
          </w:p>
          <w:p w14:paraId="08A047B7" w14:textId="77777777" w:rsidR="00016D55" w:rsidRPr="00016D55" w:rsidRDefault="00016D55" w:rsidP="00016D55">
            <w:pPr>
              <w:rPr>
                <w:b/>
              </w:rPr>
            </w:pPr>
            <w:r w:rsidRPr="00016D55">
              <w:rPr>
                <w:b/>
              </w:rPr>
              <w:t>(values and years)</w:t>
            </w:r>
          </w:p>
        </w:tc>
        <w:tc>
          <w:tcPr>
            <w:tcW w:w="587" w:type="pct"/>
            <w:tcBorders>
              <w:bottom w:val="single" w:sz="4" w:space="0" w:color="auto"/>
            </w:tcBorders>
            <w:shd w:val="clear" w:color="auto" w:fill="BFBFBF" w:themeFill="background1" w:themeFillShade="BF"/>
          </w:tcPr>
          <w:p w14:paraId="07EBE9FC" w14:textId="77777777" w:rsidR="00016D55" w:rsidRPr="00016D55" w:rsidRDefault="00016D55" w:rsidP="00016D55">
            <w:pPr>
              <w:rPr>
                <w:b/>
              </w:rPr>
            </w:pPr>
            <w:r w:rsidRPr="00016D55">
              <w:rPr>
                <w:b/>
              </w:rPr>
              <w:t>Sources of data</w:t>
            </w:r>
          </w:p>
        </w:tc>
        <w:tc>
          <w:tcPr>
            <w:tcW w:w="862" w:type="pct"/>
            <w:tcBorders>
              <w:bottom w:val="single" w:sz="4" w:space="0" w:color="auto"/>
            </w:tcBorders>
            <w:shd w:val="clear" w:color="auto" w:fill="BFBFBF" w:themeFill="background1" w:themeFillShade="BF"/>
          </w:tcPr>
          <w:p w14:paraId="007C2C5C" w14:textId="77777777" w:rsidR="00016D55" w:rsidRPr="00016D55" w:rsidRDefault="00016D55" w:rsidP="00016D55">
            <w:pPr>
              <w:rPr>
                <w:b/>
              </w:rPr>
            </w:pPr>
            <w:r w:rsidRPr="00016D55">
              <w:rPr>
                <w:b/>
              </w:rPr>
              <w:t>Assumptions</w:t>
            </w:r>
          </w:p>
        </w:tc>
      </w:tr>
      <w:tr w:rsidR="00016D55" w:rsidRPr="00016D55" w14:paraId="4FF2399D" w14:textId="77777777" w:rsidTr="00016D55">
        <w:trPr>
          <w:trHeight w:val="679"/>
          <w:tblHeader/>
        </w:trPr>
        <w:tc>
          <w:tcPr>
            <w:tcW w:w="597" w:type="pct"/>
            <w:shd w:val="clear" w:color="auto" w:fill="D9D9D9" w:themeFill="background1" w:themeFillShade="D9"/>
            <w:vAlign w:val="center"/>
          </w:tcPr>
          <w:p w14:paraId="466727C0" w14:textId="77777777" w:rsidR="00016D55" w:rsidRPr="00016D55" w:rsidRDefault="00016D55" w:rsidP="00016D55">
            <w:pPr>
              <w:rPr>
                <w:b/>
              </w:rPr>
            </w:pPr>
            <w:r w:rsidRPr="00016D55">
              <w:rPr>
                <w:b/>
              </w:rPr>
              <w:t>Impact</w:t>
            </w:r>
          </w:p>
        </w:tc>
        <w:tc>
          <w:tcPr>
            <w:tcW w:w="1152" w:type="pct"/>
            <w:shd w:val="clear" w:color="auto" w:fill="auto"/>
            <w:vAlign w:val="center"/>
          </w:tcPr>
          <w:p w14:paraId="7E6CCF62" w14:textId="77777777" w:rsidR="00016D55" w:rsidRPr="00016D55" w:rsidRDefault="00016D55" w:rsidP="00016D55">
            <w:r w:rsidRPr="00016D55">
              <w:t>To prepare Western Balkans region for EU accession in relation to economics and trade matters, through the creation of a Common Regional Market.</w:t>
            </w:r>
          </w:p>
        </w:tc>
        <w:tc>
          <w:tcPr>
            <w:tcW w:w="783" w:type="pct"/>
            <w:shd w:val="clear" w:color="auto" w:fill="auto"/>
            <w:vAlign w:val="center"/>
          </w:tcPr>
          <w:p w14:paraId="2F5CCC40" w14:textId="77777777" w:rsidR="00016D55" w:rsidRPr="00016D55" w:rsidRDefault="00016D55" w:rsidP="00016D55">
            <w:r w:rsidRPr="00016D55">
              <w:t xml:space="preserve">Western Balkans 6 GDP per capita relative to EU average </w:t>
            </w:r>
          </w:p>
        </w:tc>
        <w:tc>
          <w:tcPr>
            <w:tcW w:w="552" w:type="pct"/>
            <w:vAlign w:val="center"/>
          </w:tcPr>
          <w:p w14:paraId="16149196" w14:textId="77777777" w:rsidR="00016D55" w:rsidRPr="00016D55" w:rsidRDefault="00016D55" w:rsidP="00016D55">
            <w:r w:rsidRPr="00016D55">
              <w:t>38% (2022)</w:t>
            </w:r>
          </w:p>
        </w:tc>
        <w:tc>
          <w:tcPr>
            <w:tcW w:w="467" w:type="pct"/>
            <w:vAlign w:val="center"/>
          </w:tcPr>
          <w:p w14:paraId="2E21F545" w14:textId="77777777" w:rsidR="00016D55" w:rsidRPr="00016D55" w:rsidRDefault="00016D55" w:rsidP="00016D55">
            <w:r w:rsidRPr="00016D55">
              <w:t>Tbc (2028)</w:t>
            </w:r>
          </w:p>
        </w:tc>
        <w:tc>
          <w:tcPr>
            <w:tcW w:w="587" w:type="pct"/>
            <w:shd w:val="clear" w:color="auto" w:fill="auto"/>
            <w:vAlign w:val="center"/>
          </w:tcPr>
          <w:p w14:paraId="67CB205F" w14:textId="77777777" w:rsidR="00016D55" w:rsidRPr="00016D55" w:rsidRDefault="00016D55" w:rsidP="00016D55">
            <w:r w:rsidRPr="00016D55">
              <w:t>OECD Western Balkans Economic Convergence Scoreboard</w:t>
            </w:r>
          </w:p>
        </w:tc>
        <w:tc>
          <w:tcPr>
            <w:tcW w:w="862" w:type="pct"/>
            <w:shd w:val="clear" w:color="auto" w:fill="7F7F7F" w:themeFill="text1" w:themeFillTint="80"/>
            <w:vAlign w:val="center"/>
          </w:tcPr>
          <w:p w14:paraId="76A5C136" w14:textId="77777777" w:rsidR="00016D55" w:rsidRPr="00016D55" w:rsidRDefault="00016D55" w:rsidP="00016D55">
            <w:pPr>
              <w:rPr>
                <w:i/>
              </w:rPr>
            </w:pPr>
            <w:r w:rsidRPr="00016D55">
              <w:rPr>
                <w:i/>
              </w:rPr>
              <w:t>Not applicable</w:t>
            </w:r>
          </w:p>
        </w:tc>
      </w:tr>
      <w:tr w:rsidR="00016D55" w:rsidRPr="00016D55" w14:paraId="38767369" w14:textId="77777777" w:rsidTr="00016D55">
        <w:trPr>
          <w:trHeight w:val="496"/>
          <w:tblHeader/>
        </w:trPr>
        <w:tc>
          <w:tcPr>
            <w:tcW w:w="597" w:type="pct"/>
            <w:tcBorders>
              <w:bottom w:val="single" w:sz="4" w:space="0" w:color="auto"/>
            </w:tcBorders>
            <w:shd w:val="clear" w:color="auto" w:fill="D9D9D9" w:themeFill="background1" w:themeFillShade="D9"/>
            <w:vAlign w:val="center"/>
          </w:tcPr>
          <w:p w14:paraId="1A9925C3" w14:textId="77777777" w:rsidR="00016D55" w:rsidRPr="00016D55" w:rsidRDefault="00016D55" w:rsidP="00016D55">
            <w:pPr>
              <w:rPr>
                <w:b/>
              </w:rPr>
            </w:pPr>
            <w:r w:rsidRPr="00016D55">
              <w:rPr>
                <w:b/>
              </w:rPr>
              <w:t>Outcome 1</w:t>
            </w:r>
          </w:p>
        </w:tc>
        <w:tc>
          <w:tcPr>
            <w:tcW w:w="1152" w:type="pct"/>
            <w:tcBorders>
              <w:bottom w:val="single" w:sz="4" w:space="0" w:color="auto"/>
            </w:tcBorders>
            <w:shd w:val="clear" w:color="auto" w:fill="auto"/>
            <w:vAlign w:val="center"/>
          </w:tcPr>
          <w:p w14:paraId="004A68A2" w14:textId="77777777" w:rsidR="00016D55" w:rsidRPr="00016D55" w:rsidRDefault="00016D55" w:rsidP="00016D55">
            <w:r w:rsidRPr="00016D55">
              <w:t>Free movement of goods promoted</w:t>
            </w:r>
          </w:p>
        </w:tc>
        <w:tc>
          <w:tcPr>
            <w:tcW w:w="783" w:type="pct"/>
            <w:tcBorders>
              <w:bottom w:val="single" w:sz="4" w:space="0" w:color="auto"/>
            </w:tcBorders>
            <w:shd w:val="clear" w:color="auto" w:fill="auto"/>
            <w:vAlign w:val="center"/>
          </w:tcPr>
          <w:p w14:paraId="419CCA92" w14:textId="77777777" w:rsidR="00016D55" w:rsidRPr="00016D55" w:rsidRDefault="00016D55" w:rsidP="00016D55">
            <w:r w:rsidRPr="00016D55">
              <w:t xml:space="preserve">Value of trade in goods exports in CEFTA  </w:t>
            </w:r>
          </w:p>
        </w:tc>
        <w:tc>
          <w:tcPr>
            <w:tcW w:w="552" w:type="pct"/>
            <w:tcBorders>
              <w:bottom w:val="single" w:sz="4" w:space="0" w:color="auto"/>
            </w:tcBorders>
            <w:vAlign w:val="center"/>
          </w:tcPr>
          <w:p w14:paraId="371413F7" w14:textId="77777777" w:rsidR="00016D55" w:rsidRPr="00016D55" w:rsidRDefault="00016D55" w:rsidP="00016D55">
            <w:r w:rsidRPr="00016D55">
              <w:t xml:space="preserve">EUR 8 500 000 000 (2023) </w:t>
            </w:r>
          </w:p>
        </w:tc>
        <w:tc>
          <w:tcPr>
            <w:tcW w:w="467" w:type="pct"/>
            <w:tcBorders>
              <w:bottom w:val="single" w:sz="4" w:space="0" w:color="auto"/>
            </w:tcBorders>
            <w:vAlign w:val="center"/>
          </w:tcPr>
          <w:p w14:paraId="184EB330" w14:textId="77777777" w:rsidR="00016D55" w:rsidRPr="00016D55" w:rsidRDefault="00016D55" w:rsidP="00016D55">
            <w:r w:rsidRPr="00016D55">
              <w:t>Tbc (2028)</w:t>
            </w:r>
          </w:p>
        </w:tc>
        <w:tc>
          <w:tcPr>
            <w:tcW w:w="587" w:type="pct"/>
            <w:tcBorders>
              <w:bottom w:val="single" w:sz="4" w:space="0" w:color="auto"/>
            </w:tcBorders>
            <w:shd w:val="clear" w:color="auto" w:fill="auto"/>
            <w:vAlign w:val="center"/>
          </w:tcPr>
          <w:p w14:paraId="1E3D04B8" w14:textId="6D153AE0" w:rsidR="00016D55" w:rsidRPr="00016D55" w:rsidRDefault="00016D55" w:rsidP="00016D55">
            <w:r w:rsidRPr="00016D55">
              <w:t>CEFTA trade statistics portal or aggregated from national statistics offices if necessary</w:t>
            </w:r>
            <w:r w:rsidR="005B69D1">
              <w:t xml:space="preserve"> or World Bank regular economic report</w:t>
            </w:r>
          </w:p>
        </w:tc>
        <w:tc>
          <w:tcPr>
            <w:tcW w:w="862" w:type="pct"/>
            <w:shd w:val="clear" w:color="auto" w:fill="auto"/>
            <w:vAlign w:val="center"/>
          </w:tcPr>
          <w:p w14:paraId="25EAB6E0" w14:textId="77777777" w:rsidR="00016D55" w:rsidRPr="00016D55" w:rsidRDefault="00016D55" w:rsidP="00016D55">
            <w:r w:rsidRPr="00016D55">
              <w:t xml:space="preserve">CEFTA parties remain committed to CEFTA additional protocol 5 and implement its provisions </w:t>
            </w:r>
          </w:p>
        </w:tc>
      </w:tr>
      <w:tr w:rsidR="00016D55" w:rsidRPr="00016D55" w14:paraId="43CA9A9C" w14:textId="77777777" w:rsidTr="00016D55">
        <w:trPr>
          <w:trHeight w:val="418"/>
          <w:tblHeader/>
        </w:trPr>
        <w:tc>
          <w:tcPr>
            <w:tcW w:w="597" w:type="pct"/>
            <w:shd w:val="clear" w:color="auto" w:fill="D9D9D9" w:themeFill="background1" w:themeFillShade="D9"/>
            <w:vAlign w:val="center"/>
          </w:tcPr>
          <w:p w14:paraId="33365A4A" w14:textId="77777777" w:rsidR="00016D55" w:rsidRPr="00016D55" w:rsidRDefault="00016D55" w:rsidP="00016D55">
            <w:pPr>
              <w:rPr>
                <w:b/>
              </w:rPr>
            </w:pPr>
          </w:p>
          <w:p w14:paraId="473285E0" w14:textId="77777777" w:rsidR="00016D55" w:rsidRPr="00016D55" w:rsidRDefault="00016D55" w:rsidP="00016D55">
            <w:pPr>
              <w:rPr>
                <w:b/>
              </w:rPr>
            </w:pPr>
            <w:r w:rsidRPr="00016D55">
              <w:rPr>
                <w:b/>
              </w:rPr>
              <w:t>Outcome 2</w:t>
            </w:r>
          </w:p>
          <w:p w14:paraId="7846B6AB" w14:textId="77777777" w:rsidR="00016D55" w:rsidRPr="00016D55" w:rsidRDefault="00016D55" w:rsidP="00016D55">
            <w:pPr>
              <w:rPr>
                <w:b/>
              </w:rPr>
            </w:pPr>
          </w:p>
        </w:tc>
        <w:tc>
          <w:tcPr>
            <w:tcW w:w="1152" w:type="pct"/>
            <w:shd w:val="clear" w:color="auto" w:fill="auto"/>
            <w:vAlign w:val="center"/>
          </w:tcPr>
          <w:p w14:paraId="4BDAA539" w14:textId="77777777" w:rsidR="00016D55" w:rsidRPr="00016D55" w:rsidRDefault="00016D55" w:rsidP="00016D55">
            <w:r w:rsidRPr="00016D55">
              <w:t>Free movement of services promoted</w:t>
            </w:r>
          </w:p>
        </w:tc>
        <w:tc>
          <w:tcPr>
            <w:tcW w:w="783" w:type="pct"/>
            <w:shd w:val="clear" w:color="auto" w:fill="FFFFFF" w:themeFill="background1"/>
            <w:vAlign w:val="center"/>
          </w:tcPr>
          <w:p w14:paraId="1E015327" w14:textId="77777777" w:rsidR="00016D55" w:rsidRPr="00016D55" w:rsidRDefault="00016D55" w:rsidP="00016D55">
            <w:r w:rsidRPr="00016D55">
              <w:t xml:space="preserve">Value of trade in services exports in CEFTA  </w:t>
            </w:r>
          </w:p>
        </w:tc>
        <w:tc>
          <w:tcPr>
            <w:tcW w:w="552" w:type="pct"/>
            <w:shd w:val="clear" w:color="auto" w:fill="FFFFFF" w:themeFill="background1"/>
            <w:vAlign w:val="center"/>
          </w:tcPr>
          <w:p w14:paraId="33DFB1AC" w14:textId="77777777" w:rsidR="00016D55" w:rsidRPr="00016D55" w:rsidRDefault="00016D55" w:rsidP="00016D55">
            <w:r w:rsidRPr="00016D55">
              <w:t>EUR 3 600 000 000 (2022)</w:t>
            </w:r>
          </w:p>
        </w:tc>
        <w:tc>
          <w:tcPr>
            <w:tcW w:w="467" w:type="pct"/>
            <w:tcBorders>
              <w:bottom w:val="single" w:sz="4" w:space="0" w:color="auto"/>
            </w:tcBorders>
            <w:vAlign w:val="center"/>
          </w:tcPr>
          <w:p w14:paraId="27AFD74C" w14:textId="77777777" w:rsidR="00016D55" w:rsidRPr="00016D55" w:rsidRDefault="00016D55" w:rsidP="00016D55">
            <w:r w:rsidRPr="00016D55">
              <w:t>Tbc (2028)</w:t>
            </w:r>
          </w:p>
        </w:tc>
        <w:tc>
          <w:tcPr>
            <w:tcW w:w="587" w:type="pct"/>
            <w:tcBorders>
              <w:bottom w:val="single" w:sz="4" w:space="0" w:color="auto"/>
            </w:tcBorders>
            <w:shd w:val="clear" w:color="auto" w:fill="auto"/>
            <w:vAlign w:val="center"/>
          </w:tcPr>
          <w:p w14:paraId="1FE340D9" w14:textId="464E4F85" w:rsidR="00016D55" w:rsidRPr="00016D55" w:rsidRDefault="00016D55" w:rsidP="00016D55">
            <w:r w:rsidRPr="00016D55">
              <w:t xml:space="preserve">CEFTA trade statistics portal or aggregated from national statistics offices if </w:t>
            </w:r>
            <w:proofErr w:type="gramStart"/>
            <w:r w:rsidRPr="00016D55">
              <w:t>necessary</w:t>
            </w:r>
            <w:r w:rsidR="005B69D1">
              <w:t xml:space="preserve">  or</w:t>
            </w:r>
            <w:proofErr w:type="gramEnd"/>
            <w:r w:rsidR="005B69D1">
              <w:t xml:space="preserve"> World Bank regular economic report</w:t>
            </w:r>
          </w:p>
        </w:tc>
        <w:tc>
          <w:tcPr>
            <w:tcW w:w="862" w:type="pct"/>
            <w:shd w:val="clear" w:color="auto" w:fill="auto"/>
            <w:vAlign w:val="center"/>
          </w:tcPr>
          <w:p w14:paraId="6C3B8E2F" w14:textId="77777777" w:rsidR="00016D55" w:rsidRPr="00016D55" w:rsidRDefault="00016D55" w:rsidP="00016D55">
            <w:r w:rsidRPr="00016D55">
              <w:t>CEFTA parties remain committed to CEFTA additional protocol 6 and implement its provisions</w:t>
            </w:r>
          </w:p>
        </w:tc>
      </w:tr>
      <w:tr w:rsidR="00016D55" w:rsidRPr="00016D55" w14:paraId="51164FA8" w14:textId="77777777" w:rsidTr="00016D55">
        <w:trPr>
          <w:trHeight w:val="418"/>
          <w:tblHeader/>
        </w:trPr>
        <w:tc>
          <w:tcPr>
            <w:tcW w:w="597" w:type="pct"/>
            <w:shd w:val="clear" w:color="auto" w:fill="D9D9D9" w:themeFill="background1" w:themeFillShade="D9"/>
            <w:vAlign w:val="center"/>
          </w:tcPr>
          <w:p w14:paraId="4E9A1E20" w14:textId="77777777" w:rsidR="00016D55" w:rsidRPr="00016D55" w:rsidRDefault="00016D55" w:rsidP="00016D55">
            <w:pPr>
              <w:rPr>
                <w:b/>
              </w:rPr>
            </w:pPr>
            <w:r w:rsidRPr="00016D55">
              <w:rPr>
                <w:b/>
              </w:rPr>
              <w:t xml:space="preserve">Outcome 3 </w:t>
            </w:r>
          </w:p>
        </w:tc>
        <w:tc>
          <w:tcPr>
            <w:tcW w:w="1152" w:type="pct"/>
            <w:shd w:val="clear" w:color="auto" w:fill="auto"/>
            <w:vAlign w:val="center"/>
          </w:tcPr>
          <w:p w14:paraId="09828819" w14:textId="77777777" w:rsidR="00016D55" w:rsidRPr="00016D55" w:rsidRDefault="00016D55" w:rsidP="00016D55">
            <w:r w:rsidRPr="00016D55">
              <w:t>Horizontal measures strengthened</w:t>
            </w:r>
          </w:p>
        </w:tc>
        <w:tc>
          <w:tcPr>
            <w:tcW w:w="783" w:type="pct"/>
            <w:shd w:val="clear" w:color="auto" w:fill="FFFFFF" w:themeFill="background1"/>
            <w:vAlign w:val="center"/>
          </w:tcPr>
          <w:p w14:paraId="6FABCBB8" w14:textId="77777777" w:rsidR="00016D55" w:rsidRPr="00016D55" w:rsidRDefault="00016D55" w:rsidP="00016D55">
            <w:r w:rsidRPr="00016D55">
              <w:rPr>
                <w:lang w:val="en-US"/>
              </w:rPr>
              <w:t xml:space="preserve">Average waiting time to cross borders in CEFTA </w:t>
            </w:r>
          </w:p>
        </w:tc>
        <w:tc>
          <w:tcPr>
            <w:tcW w:w="552" w:type="pct"/>
            <w:shd w:val="clear" w:color="auto" w:fill="FFFFFF" w:themeFill="background1"/>
          </w:tcPr>
          <w:p w14:paraId="2CB34B3B" w14:textId="77777777" w:rsidR="00016D55" w:rsidRPr="00016D55" w:rsidRDefault="00016D55" w:rsidP="00016D55">
            <w:r w:rsidRPr="00016D55">
              <w:t>86 minutes (2023)</w:t>
            </w:r>
          </w:p>
        </w:tc>
        <w:tc>
          <w:tcPr>
            <w:tcW w:w="467" w:type="pct"/>
            <w:shd w:val="clear" w:color="auto" w:fill="FFFFFF" w:themeFill="background1"/>
          </w:tcPr>
          <w:p w14:paraId="7559D3CC" w14:textId="77777777" w:rsidR="00016D55" w:rsidRPr="00016D55" w:rsidRDefault="00016D55" w:rsidP="00016D55">
            <w:r w:rsidRPr="00016D55">
              <w:t>Tbc (2028)</w:t>
            </w:r>
          </w:p>
        </w:tc>
        <w:tc>
          <w:tcPr>
            <w:tcW w:w="587" w:type="pct"/>
            <w:shd w:val="clear" w:color="auto" w:fill="FFFFFF" w:themeFill="background1"/>
            <w:vAlign w:val="center"/>
          </w:tcPr>
          <w:p w14:paraId="121F3040" w14:textId="77777777" w:rsidR="00016D55" w:rsidRPr="00016D55" w:rsidRDefault="00016D55" w:rsidP="00016D55">
            <w:r w:rsidRPr="00016D55">
              <w:t>CEFTA green corridors statistics portal</w:t>
            </w:r>
          </w:p>
        </w:tc>
        <w:tc>
          <w:tcPr>
            <w:tcW w:w="862" w:type="pct"/>
            <w:shd w:val="clear" w:color="auto" w:fill="auto"/>
            <w:vAlign w:val="center"/>
          </w:tcPr>
          <w:p w14:paraId="518AB388" w14:textId="77777777" w:rsidR="00016D55" w:rsidRPr="00016D55" w:rsidRDefault="00016D55" w:rsidP="00016D55">
            <w:r w:rsidRPr="00016D55">
              <w:t xml:space="preserve">Active and constructive participation of CEFTA </w:t>
            </w:r>
            <w:proofErr w:type="gramStart"/>
            <w:r w:rsidRPr="00016D55">
              <w:t>parties</w:t>
            </w:r>
            <w:proofErr w:type="gramEnd"/>
            <w:r w:rsidRPr="00016D55">
              <w:t xml:space="preserve"> stakeholders in promoting intra-regional trade</w:t>
            </w:r>
          </w:p>
        </w:tc>
      </w:tr>
      <w:tr w:rsidR="00016D55" w:rsidRPr="00016D55" w14:paraId="66CB43DB" w14:textId="77777777" w:rsidTr="00016D55">
        <w:trPr>
          <w:trHeight w:val="418"/>
          <w:tblHeader/>
        </w:trPr>
        <w:tc>
          <w:tcPr>
            <w:tcW w:w="597" w:type="pct"/>
            <w:shd w:val="clear" w:color="auto" w:fill="D9D9D9" w:themeFill="background1" w:themeFillShade="D9"/>
            <w:vAlign w:val="center"/>
          </w:tcPr>
          <w:p w14:paraId="5FFAC568" w14:textId="77777777" w:rsidR="00016D55" w:rsidRPr="00016D55" w:rsidRDefault="00016D55" w:rsidP="00016D55">
            <w:pPr>
              <w:rPr>
                <w:b/>
              </w:rPr>
            </w:pPr>
            <w:r w:rsidRPr="00016D55">
              <w:rPr>
                <w:b/>
              </w:rPr>
              <w:t>Outcome 4</w:t>
            </w:r>
          </w:p>
        </w:tc>
        <w:tc>
          <w:tcPr>
            <w:tcW w:w="1152" w:type="pct"/>
            <w:shd w:val="clear" w:color="auto" w:fill="auto"/>
            <w:vAlign w:val="center"/>
          </w:tcPr>
          <w:p w14:paraId="32741DC5" w14:textId="77777777" w:rsidR="00016D55" w:rsidRPr="00016D55" w:rsidRDefault="00016D55" w:rsidP="00016D55">
            <w:r w:rsidRPr="00016D55">
              <w:t>Human capital development enhanced</w:t>
            </w:r>
          </w:p>
        </w:tc>
        <w:tc>
          <w:tcPr>
            <w:tcW w:w="783" w:type="pct"/>
            <w:shd w:val="clear" w:color="auto" w:fill="FFFFFF" w:themeFill="background1"/>
            <w:vAlign w:val="center"/>
          </w:tcPr>
          <w:p w14:paraId="2BA6D321" w14:textId="77777777" w:rsidR="00016D55" w:rsidRPr="00016D55" w:rsidRDefault="00016D55" w:rsidP="00016D55">
            <w:r w:rsidRPr="00016D55">
              <w:t>Skills for adaptable labour market index (WB6 average)</w:t>
            </w:r>
          </w:p>
        </w:tc>
        <w:tc>
          <w:tcPr>
            <w:tcW w:w="552" w:type="pct"/>
            <w:shd w:val="clear" w:color="auto" w:fill="FFFFFF" w:themeFill="background1"/>
            <w:vAlign w:val="center"/>
          </w:tcPr>
          <w:p w14:paraId="39FE542F" w14:textId="77777777" w:rsidR="00016D55" w:rsidRPr="00016D55" w:rsidRDefault="00016D55" w:rsidP="00016D55">
            <w:r w:rsidRPr="00016D55">
              <w:t>2.6 (2023)</w:t>
            </w:r>
          </w:p>
        </w:tc>
        <w:tc>
          <w:tcPr>
            <w:tcW w:w="467" w:type="pct"/>
            <w:shd w:val="clear" w:color="auto" w:fill="FFFFFF" w:themeFill="background1"/>
            <w:vAlign w:val="center"/>
          </w:tcPr>
          <w:p w14:paraId="6CF05594" w14:textId="77777777" w:rsidR="00016D55" w:rsidRPr="00016D55" w:rsidRDefault="00016D55" w:rsidP="00016D55">
            <w:r w:rsidRPr="00016D55">
              <w:t>Tbc (2028)</w:t>
            </w:r>
          </w:p>
        </w:tc>
        <w:tc>
          <w:tcPr>
            <w:tcW w:w="587" w:type="pct"/>
            <w:shd w:val="clear" w:color="auto" w:fill="FFFFFF" w:themeFill="background1"/>
            <w:vAlign w:val="center"/>
          </w:tcPr>
          <w:p w14:paraId="5B100C0B" w14:textId="77777777" w:rsidR="00016D55" w:rsidRPr="00016D55" w:rsidRDefault="00016D55" w:rsidP="00016D55">
            <w:r w:rsidRPr="00016D55">
              <w:t>OECD Western Balkans competitiveness Data Hub</w:t>
            </w:r>
          </w:p>
        </w:tc>
        <w:tc>
          <w:tcPr>
            <w:tcW w:w="862" w:type="pct"/>
            <w:shd w:val="clear" w:color="auto" w:fill="auto"/>
            <w:vAlign w:val="center"/>
          </w:tcPr>
          <w:p w14:paraId="11AAF6D0" w14:textId="77777777" w:rsidR="00016D55" w:rsidRPr="00016D55" w:rsidRDefault="00016D55" w:rsidP="00016D55">
            <w:r w:rsidRPr="00016D55">
              <w:t>Western Balkans 6 are committed to implement corresponding CRM II AP provisions</w:t>
            </w:r>
          </w:p>
        </w:tc>
      </w:tr>
      <w:tr w:rsidR="00016D55" w:rsidRPr="00016D55" w14:paraId="26DC4751" w14:textId="77777777" w:rsidTr="00016D55">
        <w:trPr>
          <w:trHeight w:val="418"/>
          <w:tblHeader/>
        </w:trPr>
        <w:tc>
          <w:tcPr>
            <w:tcW w:w="597" w:type="pct"/>
            <w:shd w:val="clear" w:color="auto" w:fill="D9D9D9" w:themeFill="background1" w:themeFillShade="D9"/>
            <w:vAlign w:val="center"/>
          </w:tcPr>
          <w:p w14:paraId="1EF70E8A" w14:textId="77777777" w:rsidR="00016D55" w:rsidRPr="00016D55" w:rsidRDefault="00016D55" w:rsidP="00016D55">
            <w:pPr>
              <w:rPr>
                <w:b/>
              </w:rPr>
            </w:pPr>
            <w:r w:rsidRPr="00016D55">
              <w:rPr>
                <w:b/>
              </w:rPr>
              <w:lastRenderedPageBreak/>
              <w:t>Outcome 5</w:t>
            </w:r>
          </w:p>
        </w:tc>
        <w:tc>
          <w:tcPr>
            <w:tcW w:w="1152" w:type="pct"/>
            <w:shd w:val="clear" w:color="auto" w:fill="auto"/>
            <w:vAlign w:val="center"/>
          </w:tcPr>
          <w:p w14:paraId="06F57FC8" w14:textId="77777777" w:rsidR="00016D55" w:rsidRPr="00016D55" w:rsidRDefault="00016D55" w:rsidP="00016D55">
            <w:r w:rsidRPr="00016D55">
              <w:t>Business enabling environment and competitiveness strengthened</w:t>
            </w:r>
          </w:p>
        </w:tc>
        <w:tc>
          <w:tcPr>
            <w:tcW w:w="783" w:type="pct"/>
            <w:shd w:val="clear" w:color="auto" w:fill="FFFFFF" w:themeFill="background1"/>
            <w:vAlign w:val="center"/>
          </w:tcPr>
          <w:p w14:paraId="1333BF40" w14:textId="77777777" w:rsidR="00016D55" w:rsidRPr="00016D55" w:rsidRDefault="00016D55" w:rsidP="00016D55">
            <w:r w:rsidRPr="00016D55">
              <w:t>Investment promotion and facilitation index (WB6 average)</w:t>
            </w:r>
          </w:p>
        </w:tc>
        <w:tc>
          <w:tcPr>
            <w:tcW w:w="552" w:type="pct"/>
            <w:shd w:val="clear" w:color="auto" w:fill="FFFFFF" w:themeFill="background1"/>
            <w:vAlign w:val="center"/>
          </w:tcPr>
          <w:p w14:paraId="433CB871" w14:textId="77777777" w:rsidR="00016D55" w:rsidRPr="00016D55" w:rsidRDefault="00016D55" w:rsidP="00016D55">
            <w:r w:rsidRPr="00016D55">
              <w:t>3.3 (2023)</w:t>
            </w:r>
          </w:p>
        </w:tc>
        <w:tc>
          <w:tcPr>
            <w:tcW w:w="467" w:type="pct"/>
            <w:shd w:val="clear" w:color="auto" w:fill="FFFFFF" w:themeFill="background1"/>
            <w:vAlign w:val="center"/>
          </w:tcPr>
          <w:p w14:paraId="0B7C97C1" w14:textId="77777777" w:rsidR="00016D55" w:rsidRPr="00016D55" w:rsidRDefault="00016D55" w:rsidP="00016D55">
            <w:r w:rsidRPr="00016D55">
              <w:t>Tbc (2028)</w:t>
            </w:r>
          </w:p>
        </w:tc>
        <w:tc>
          <w:tcPr>
            <w:tcW w:w="587" w:type="pct"/>
            <w:shd w:val="clear" w:color="auto" w:fill="FFFFFF" w:themeFill="background1"/>
            <w:vAlign w:val="center"/>
          </w:tcPr>
          <w:p w14:paraId="45D66C47" w14:textId="77777777" w:rsidR="00016D55" w:rsidRPr="00016D55" w:rsidRDefault="00016D55" w:rsidP="00016D55">
            <w:r w:rsidRPr="00016D55">
              <w:t>OECD Western Balkans competitiveness Data Hub</w:t>
            </w:r>
          </w:p>
        </w:tc>
        <w:tc>
          <w:tcPr>
            <w:tcW w:w="862" w:type="pct"/>
            <w:shd w:val="clear" w:color="auto" w:fill="auto"/>
            <w:vAlign w:val="center"/>
          </w:tcPr>
          <w:p w14:paraId="4E04BD3A" w14:textId="77777777" w:rsidR="00016D55" w:rsidRPr="00016D55" w:rsidRDefault="00016D55" w:rsidP="00016D55">
            <w:r w:rsidRPr="00016D55">
              <w:t>Western Balkans 6 are committed to implement corresponding CRM II AP provisions</w:t>
            </w:r>
          </w:p>
        </w:tc>
      </w:tr>
      <w:tr w:rsidR="00016D55" w:rsidRPr="00016D55" w14:paraId="524CBD1B" w14:textId="77777777" w:rsidTr="00016D55">
        <w:trPr>
          <w:trHeight w:val="418"/>
          <w:tblHeader/>
        </w:trPr>
        <w:tc>
          <w:tcPr>
            <w:tcW w:w="597" w:type="pct"/>
            <w:shd w:val="clear" w:color="auto" w:fill="D9D9D9" w:themeFill="background1" w:themeFillShade="D9"/>
            <w:vAlign w:val="center"/>
          </w:tcPr>
          <w:p w14:paraId="6BA8C1D2" w14:textId="77777777" w:rsidR="00016D55" w:rsidRPr="00016D55" w:rsidRDefault="00016D55" w:rsidP="00016D55">
            <w:pPr>
              <w:rPr>
                <w:b/>
              </w:rPr>
            </w:pPr>
            <w:r w:rsidRPr="00016D55">
              <w:rPr>
                <w:b/>
              </w:rPr>
              <w:t>Outcome 6</w:t>
            </w:r>
          </w:p>
        </w:tc>
        <w:tc>
          <w:tcPr>
            <w:tcW w:w="1152" w:type="pct"/>
            <w:shd w:val="clear" w:color="auto" w:fill="auto"/>
            <w:vAlign w:val="center"/>
          </w:tcPr>
          <w:p w14:paraId="4420757F" w14:textId="77777777" w:rsidR="00016D55" w:rsidRPr="00016D55" w:rsidRDefault="00016D55" w:rsidP="00016D55">
            <w:r w:rsidRPr="00016D55">
              <w:t>Digital transformation promoted</w:t>
            </w:r>
          </w:p>
        </w:tc>
        <w:tc>
          <w:tcPr>
            <w:tcW w:w="783" w:type="pct"/>
            <w:shd w:val="clear" w:color="auto" w:fill="FFFFFF" w:themeFill="background1"/>
            <w:vAlign w:val="center"/>
          </w:tcPr>
          <w:p w14:paraId="2C486BAB" w14:textId="77777777" w:rsidR="00016D55" w:rsidRPr="00016D55" w:rsidRDefault="00016D55" w:rsidP="00016D55">
            <w:r w:rsidRPr="00016D55">
              <w:t>Digital society access index (WB6 average)</w:t>
            </w:r>
          </w:p>
          <w:p w14:paraId="7157537D" w14:textId="77777777" w:rsidR="00016D55" w:rsidRPr="00016D55" w:rsidRDefault="00016D55" w:rsidP="00016D55"/>
          <w:p w14:paraId="3E2AD07B" w14:textId="77777777" w:rsidR="00016D55" w:rsidRPr="00016D55" w:rsidRDefault="00016D55" w:rsidP="00016D55">
            <w:r w:rsidRPr="00016D55">
              <w:t>Digital society trust index (WB6 average)</w:t>
            </w:r>
          </w:p>
        </w:tc>
        <w:tc>
          <w:tcPr>
            <w:tcW w:w="552" w:type="pct"/>
            <w:shd w:val="clear" w:color="auto" w:fill="FFFFFF" w:themeFill="background1"/>
            <w:vAlign w:val="center"/>
          </w:tcPr>
          <w:p w14:paraId="0B8CD215" w14:textId="77777777" w:rsidR="00016D55" w:rsidRPr="00016D55" w:rsidRDefault="00016D55" w:rsidP="00016D55">
            <w:r w:rsidRPr="00016D55">
              <w:t>2.9 (2023)</w:t>
            </w:r>
          </w:p>
          <w:p w14:paraId="34642979" w14:textId="77777777" w:rsidR="00016D55" w:rsidRPr="00016D55" w:rsidRDefault="00016D55" w:rsidP="00016D55"/>
          <w:p w14:paraId="0197E97E" w14:textId="77777777" w:rsidR="00016D55" w:rsidRPr="00016D55" w:rsidRDefault="00016D55" w:rsidP="00016D55">
            <w:r w:rsidRPr="00016D55">
              <w:t>2.7 (2023)</w:t>
            </w:r>
          </w:p>
        </w:tc>
        <w:tc>
          <w:tcPr>
            <w:tcW w:w="467" w:type="pct"/>
            <w:shd w:val="clear" w:color="auto" w:fill="FFFFFF" w:themeFill="background1"/>
            <w:vAlign w:val="center"/>
          </w:tcPr>
          <w:p w14:paraId="3BE534C8" w14:textId="77777777" w:rsidR="00016D55" w:rsidRPr="00016D55" w:rsidRDefault="00016D55" w:rsidP="00016D55">
            <w:r w:rsidRPr="00016D55">
              <w:t>Tbc (2028)</w:t>
            </w:r>
          </w:p>
          <w:p w14:paraId="6326A45D" w14:textId="77777777" w:rsidR="00016D55" w:rsidRPr="00016D55" w:rsidRDefault="00016D55" w:rsidP="00016D55"/>
          <w:p w14:paraId="5C7C6291" w14:textId="77777777" w:rsidR="00016D55" w:rsidRPr="00016D55" w:rsidRDefault="00016D55" w:rsidP="00016D55">
            <w:r w:rsidRPr="00016D55">
              <w:t>Tbc (2028)</w:t>
            </w:r>
          </w:p>
        </w:tc>
        <w:tc>
          <w:tcPr>
            <w:tcW w:w="587" w:type="pct"/>
            <w:shd w:val="clear" w:color="auto" w:fill="FFFFFF" w:themeFill="background1"/>
            <w:vAlign w:val="center"/>
          </w:tcPr>
          <w:p w14:paraId="2ADE4C43" w14:textId="77777777" w:rsidR="00016D55" w:rsidRPr="00016D55" w:rsidRDefault="00016D55" w:rsidP="00016D55">
            <w:r w:rsidRPr="00016D55">
              <w:t>OECD Western Balkans competitiveness Data Hub</w:t>
            </w:r>
          </w:p>
        </w:tc>
        <w:tc>
          <w:tcPr>
            <w:tcW w:w="862" w:type="pct"/>
            <w:shd w:val="clear" w:color="auto" w:fill="auto"/>
            <w:vAlign w:val="center"/>
          </w:tcPr>
          <w:p w14:paraId="2D207C49" w14:textId="77777777" w:rsidR="00016D55" w:rsidRPr="00016D55" w:rsidRDefault="00016D55" w:rsidP="00016D55">
            <w:r w:rsidRPr="00016D55">
              <w:t>Western Balkans 6 are committed to implement corresponding CRM II AP provisions</w:t>
            </w:r>
          </w:p>
        </w:tc>
      </w:tr>
    </w:tbl>
    <w:p w14:paraId="59960802" w14:textId="2F39C79E" w:rsidR="00D370B8" w:rsidRPr="003C0CD7" w:rsidRDefault="00D370B8" w:rsidP="00D370B8">
      <w:pPr>
        <w:sectPr w:rsidR="00D370B8" w:rsidRPr="003C0CD7" w:rsidSect="009D4EF1">
          <w:pgSz w:w="16838" w:h="11906" w:orient="landscape"/>
          <w:pgMar w:top="720" w:right="993" w:bottom="720" w:left="426" w:header="510" w:footer="483" w:gutter="0"/>
          <w:cols w:space="708"/>
          <w:docGrid w:linePitch="360"/>
        </w:sectPr>
      </w:pPr>
    </w:p>
    <w:p w14:paraId="6BBE1648" w14:textId="425303F4" w:rsidR="008E6AFF" w:rsidRPr="009B333B" w:rsidRDefault="008E6AFF" w:rsidP="009B333B">
      <w:pPr>
        <w:pStyle w:val="Heading1"/>
      </w:pPr>
      <w:bookmarkStart w:id="211" w:name="_Toc47101964"/>
      <w:bookmarkStart w:id="212" w:name="_Toc51270459"/>
      <w:bookmarkStart w:id="213" w:name="_Toc59031675"/>
      <w:bookmarkStart w:id="214" w:name="_Toc73090757"/>
      <w:bookmarkStart w:id="215" w:name="_Ref58337274"/>
      <w:bookmarkStart w:id="216" w:name="_Toc47101982"/>
      <w:bookmarkStart w:id="217" w:name="_Toc51270477"/>
      <w:bookmarkStart w:id="218" w:name="_Ref58359378"/>
      <w:bookmarkEnd w:id="190"/>
      <w:bookmarkEnd w:id="191"/>
      <w:bookmarkEnd w:id="192"/>
      <w:bookmarkEnd w:id="193"/>
      <w:bookmarkEnd w:id="194"/>
      <w:bookmarkEnd w:id="195"/>
      <w:bookmarkEnd w:id="196"/>
      <w:bookmarkEnd w:id="197"/>
      <w:r w:rsidRPr="009B333B">
        <w:lastRenderedPageBreak/>
        <w:t xml:space="preserve">IMPLEMENTATION </w:t>
      </w:r>
      <w:bookmarkEnd w:id="211"/>
      <w:bookmarkEnd w:id="212"/>
      <w:r w:rsidRPr="009B333B">
        <w:t>ARRANGEMENTS</w:t>
      </w:r>
      <w:bookmarkEnd w:id="213"/>
      <w:bookmarkEnd w:id="214"/>
      <w:r w:rsidRPr="009B333B">
        <w:t xml:space="preserve"> </w:t>
      </w:r>
      <w:bookmarkStart w:id="219" w:name="_Toc59023374"/>
      <w:bookmarkStart w:id="220" w:name="_Toc59029543"/>
      <w:bookmarkStart w:id="221" w:name="_Toc59030359"/>
      <w:bookmarkStart w:id="222" w:name="_Toc59031676"/>
      <w:bookmarkStart w:id="223" w:name="_Toc62247175"/>
      <w:bookmarkStart w:id="224" w:name="_Toc62247232"/>
      <w:bookmarkStart w:id="225" w:name="_Toc62459274"/>
      <w:bookmarkStart w:id="226" w:name="_Toc62476938"/>
      <w:bookmarkStart w:id="227" w:name="_Toc63235846"/>
      <w:bookmarkStart w:id="228" w:name="_Toc63248952"/>
      <w:bookmarkStart w:id="229" w:name="_Toc63263281"/>
      <w:bookmarkStart w:id="230" w:name="_Toc64043058"/>
      <w:bookmarkStart w:id="231" w:name="_Toc65663771"/>
      <w:bookmarkStart w:id="232" w:name="_Toc65665587"/>
      <w:bookmarkStart w:id="233" w:name="_Toc65665949"/>
      <w:bookmarkStart w:id="234" w:name="_Toc65666126"/>
      <w:bookmarkStart w:id="235" w:name="_Toc65671203"/>
      <w:bookmarkStart w:id="236" w:name="_Toc65671262"/>
      <w:bookmarkStart w:id="237" w:name="_Toc65671919"/>
      <w:bookmarkStart w:id="238" w:name="_Toc65674775"/>
      <w:bookmarkStart w:id="239" w:name="_Toc65676425"/>
      <w:bookmarkStart w:id="240" w:name="_Toc65688262"/>
      <w:bookmarkStart w:id="241" w:name="_Toc66465152"/>
      <w:bookmarkStart w:id="242" w:name="_Toc66465605"/>
      <w:bookmarkStart w:id="243" w:name="_Toc66465664"/>
      <w:bookmarkStart w:id="244" w:name="_Toc66696390"/>
      <w:bookmarkStart w:id="245" w:name="_Toc67665938"/>
      <w:bookmarkStart w:id="246" w:name="_Toc69384766"/>
      <w:bookmarkStart w:id="247" w:name="_Toc69384897"/>
      <w:bookmarkStart w:id="248" w:name="_Toc69385025"/>
      <w:bookmarkStart w:id="249" w:name="_Toc69385153"/>
      <w:bookmarkStart w:id="250" w:name="_Toc69460902"/>
      <w:bookmarkStart w:id="251" w:name="_Toc69461029"/>
      <w:bookmarkStart w:id="252" w:name="_Toc69469921"/>
      <w:bookmarkStart w:id="253" w:name="_Toc69485784"/>
      <w:bookmarkStart w:id="254" w:name="_Toc69487659"/>
      <w:bookmarkStart w:id="255" w:name="_Toc72142249"/>
      <w:bookmarkStart w:id="256" w:name="_Toc72142335"/>
      <w:bookmarkStart w:id="257" w:name="_Toc73090675"/>
      <w:bookmarkStart w:id="258" w:name="_Toc73090758"/>
      <w:bookmarkStart w:id="259" w:name="_Toc47101965"/>
      <w:bookmarkStart w:id="260" w:name="_Toc51270460"/>
      <w:bookmarkStart w:id="261" w:name="_Ref58359167"/>
      <w:bookmarkEnd w:id="215"/>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08AD0F4E" w14:textId="1984AE7D" w:rsidR="00BC624C" w:rsidRDefault="008E6AFF" w:rsidP="004A4C6A">
      <w:pPr>
        <w:pStyle w:val="Heading1"/>
        <w:numPr>
          <w:ilvl w:val="1"/>
          <w:numId w:val="96"/>
        </w:numPr>
      </w:pPr>
      <w:bookmarkStart w:id="262" w:name="_Toc59031677"/>
      <w:bookmarkStart w:id="263" w:name="_Ref65665776"/>
      <w:bookmarkStart w:id="264" w:name="_Toc73090759"/>
      <w:r w:rsidRPr="55BC82F2">
        <w:t>Financing Agreement</w:t>
      </w:r>
      <w:bookmarkStart w:id="265" w:name="_Toc47101966"/>
      <w:bookmarkStart w:id="266" w:name="_Toc51270461"/>
      <w:bookmarkStart w:id="267" w:name="_Toc59031678"/>
      <w:bookmarkEnd w:id="259"/>
      <w:bookmarkEnd w:id="260"/>
      <w:bookmarkEnd w:id="261"/>
      <w:bookmarkEnd w:id="262"/>
      <w:bookmarkEnd w:id="263"/>
      <w:bookmarkEnd w:id="264"/>
    </w:p>
    <w:p w14:paraId="599079FF" w14:textId="51E74B7C" w:rsidR="009B63BD" w:rsidRPr="003C0CD7" w:rsidRDefault="004A3EFD" w:rsidP="004A3EFD">
      <w:proofErr w:type="gramStart"/>
      <w:r w:rsidRPr="003C0CD7">
        <w:t>In order to</w:t>
      </w:r>
      <w:proofErr w:type="gramEnd"/>
      <w:r w:rsidRPr="003C0CD7">
        <w:t xml:space="preserve"> implement this action, it is </w:t>
      </w:r>
      <w:r w:rsidRPr="004A4C6A">
        <w:t>not</w:t>
      </w:r>
      <w:r w:rsidRPr="003C0CD7">
        <w:t xml:space="preserve"> envisaged to conclude financing agreement</w:t>
      </w:r>
      <w:r w:rsidR="009342D0">
        <w:t>s</w:t>
      </w:r>
      <w:r w:rsidRPr="003C0CD7">
        <w:t xml:space="preserve"> with </w:t>
      </w:r>
      <w:r w:rsidR="009342D0">
        <w:t xml:space="preserve">the relevant </w:t>
      </w:r>
      <w:r w:rsidRPr="004A4C6A">
        <w:t>IPA III beneficia</w:t>
      </w:r>
      <w:r w:rsidR="00F342E3" w:rsidRPr="004A4C6A">
        <w:t>ries or with Moldova.</w:t>
      </w:r>
    </w:p>
    <w:p w14:paraId="16A5142A" w14:textId="28DD878F" w:rsidR="008E6AFF" w:rsidRPr="003C0CD7" w:rsidRDefault="008E6AFF" w:rsidP="003C0CD7">
      <w:pPr>
        <w:pStyle w:val="Heading1"/>
        <w:numPr>
          <w:ilvl w:val="1"/>
          <w:numId w:val="1"/>
        </w:numPr>
        <w:rPr>
          <w:color w:val="auto"/>
        </w:rPr>
      </w:pPr>
      <w:bookmarkStart w:id="268" w:name="_Toc73090760"/>
      <w:r w:rsidRPr="00DC3DEB">
        <w:t>Indicative</w:t>
      </w:r>
      <w:r w:rsidRPr="00DC3DEB">
        <w:rPr>
          <w:color w:val="auto"/>
        </w:rPr>
        <w:t xml:space="preserve"> </w:t>
      </w:r>
      <w:r w:rsidRPr="00A112B0">
        <w:rPr>
          <w:color w:val="auto"/>
        </w:rPr>
        <w:t>Implementation</w:t>
      </w:r>
      <w:r w:rsidR="00E655AA" w:rsidRPr="00A112B0">
        <w:rPr>
          <w:color w:val="auto"/>
        </w:rPr>
        <w:t xml:space="preserve"> </w:t>
      </w:r>
      <w:r w:rsidRPr="003C0CD7">
        <w:rPr>
          <w:color w:val="auto"/>
        </w:rPr>
        <w:t>Period</w:t>
      </w:r>
      <w:bookmarkEnd w:id="265"/>
      <w:bookmarkEnd w:id="266"/>
      <w:bookmarkEnd w:id="267"/>
      <w:bookmarkEnd w:id="268"/>
      <w:r w:rsidRPr="003C0CD7">
        <w:rPr>
          <w:color w:val="auto"/>
        </w:rPr>
        <w:t xml:space="preserve"> </w:t>
      </w:r>
    </w:p>
    <w:p w14:paraId="4F73F51A" w14:textId="763531B0" w:rsidR="00A32BB1" w:rsidRPr="003C0CD7" w:rsidRDefault="00A32BB1" w:rsidP="00A32BB1">
      <w:pPr>
        <w:rPr>
          <w:rFonts w:cs="Times New Roman"/>
        </w:rPr>
      </w:pPr>
      <w:bookmarkStart w:id="269" w:name="_Toc47101967"/>
      <w:bookmarkStart w:id="270" w:name="_Toc51270462"/>
      <w:bookmarkStart w:id="271" w:name="_Ref58357974"/>
      <w:bookmarkStart w:id="272" w:name="_Ref58360386"/>
      <w:bookmarkStart w:id="273" w:name="_Ref58360539"/>
      <w:bookmarkStart w:id="274" w:name="_Ref58440441"/>
      <w:bookmarkStart w:id="275" w:name="_Ref58878099"/>
      <w:bookmarkStart w:id="276" w:name="_Ref58878176"/>
      <w:bookmarkStart w:id="277" w:name="_Ref58878177"/>
      <w:bookmarkStart w:id="278" w:name="_Ref58878225"/>
      <w:bookmarkStart w:id="279" w:name="_Toc59031679"/>
      <w:r w:rsidRPr="003C0CD7">
        <w:rPr>
          <w:rFonts w:cs="Times New Roman"/>
        </w:rPr>
        <w:t xml:space="preserve">The indicative operational implementation period of this action, during which the activities described in section </w:t>
      </w:r>
      <w:r w:rsidR="00C242E3">
        <w:rPr>
          <w:rFonts w:cs="Times New Roman"/>
        </w:rPr>
        <w:t>3</w:t>
      </w:r>
      <w:r w:rsidRPr="003C0CD7">
        <w:rPr>
          <w:rFonts w:cs="Times New Roman"/>
        </w:rPr>
        <w:t xml:space="preserve"> will be carried out and the corresponding contracts and agreements implemented, is </w:t>
      </w:r>
      <w:r w:rsidR="00DE5319" w:rsidRPr="004A4C6A">
        <w:rPr>
          <w:rFonts w:cs="Times New Roman"/>
        </w:rPr>
        <w:t>72</w:t>
      </w:r>
      <w:r w:rsidR="009342D0">
        <w:rPr>
          <w:rFonts w:cs="Times New Roman"/>
        </w:rPr>
        <w:t xml:space="preserve">, and </w:t>
      </w:r>
      <w:r w:rsidR="00CC2740">
        <w:rPr>
          <w:rFonts w:cs="Times New Roman"/>
        </w:rPr>
        <w:br/>
      </w:r>
      <w:r w:rsidR="009342D0">
        <w:rPr>
          <w:rFonts w:cs="Times New Roman"/>
        </w:rPr>
        <w:t xml:space="preserve">84 </w:t>
      </w:r>
      <w:r w:rsidRPr="003C0CD7">
        <w:rPr>
          <w:rFonts w:cs="Times New Roman"/>
        </w:rPr>
        <w:t xml:space="preserve">months from the date of </w:t>
      </w:r>
      <w:r w:rsidRPr="004A4C6A">
        <w:rPr>
          <w:rFonts w:cs="Times New Roman"/>
        </w:rPr>
        <w:t>adoption by the Commission of this Financing Decision</w:t>
      </w:r>
      <w:r w:rsidR="009342D0">
        <w:rPr>
          <w:rFonts w:cs="Times New Roman"/>
        </w:rPr>
        <w:t xml:space="preserve"> for the allocations 2025 and 2026 respectively</w:t>
      </w:r>
      <w:r w:rsidRPr="003C0CD7">
        <w:rPr>
          <w:rFonts w:cs="Times New Roman"/>
        </w:rPr>
        <w:t xml:space="preserve">. </w:t>
      </w:r>
    </w:p>
    <w:p w14:paraId="41EB496E" w14:textId="77777777" w:rsidR="00DE5319" w:rsidRPr="003C0CD7" w:rsidRDefault="00DE5319" w:rsidP="00A32BB1">
      <w:pPr>
        <w:rPr>
          <w:rFonts w:cs="Times New Roman"/>
        </w:rPr>
      </w:pPr>
    </w:p>
    <w:p w14:paraId="37E62600" w14:textId="42E99C43" w:rsidR="003221ED" w:rsidRDefault="00A32BB1" w:rsidP="00A32BB1">
      <w:pPr>
        <w:rPr>
          <w:rFonts w:cs="Times New Roman"/>
          <w:highlight w:val="yellow"/>
        </w:rPr>
      </w:pPr>
      <w:r w:rsidRPr="003C0CD7">
        <w:rPr>
          <w:rFonts w:cs="Times New Roman"/>
        </w:rPr>
        <w:t>Extensions of the implementation period may be agreed by the Commission’s responsible authorising officer by amending this Financing Decision and the relevant contracts and agreements.</w:t>
      </w:r>
    </w:p>
    <w:p w14:paraId="2D812006" w14:textId="717C99CD" w:rsidR="008E6AFF" w:rsidRPr="003C0CD7" w:rsidRDefault="00240ECF" w:rsidP="003C0CD7">
      <w:pPr>
        <w:pStyle w:val="Heading1"/>
        <w:numPr>
          <w:ilvl w:val="1"/>
          <w:numId w:val="1"/>
        </w:numPr>
      </w:pPr>
      <w:bookmarkStart w:id="280" w:name="_Toc73090765"/>
      <w:bookmarkEnd w:id="269"/>
      <w:bookmarkEnd w:id="270"/>
      <w:bookmarkEnd w:id="271"/>
      <w:bookmarkEnd w:id="272"/>
      <w:bookmarkEnd w:id="273"/>
      <w:bookmarkEnd w:id="274"/>
      <w:bookmarkEnd w:id="275"/>
      <w:bookmarkEnd w:id="276"/>
      <w:bookmarkEnd w:id="277"/>
      <w:bookmarkEnd w:id="278"/>
      <w:bookmarkEnd w:id="279"/>
      <w:r>
        <w:t>Implementation Modalities</w:t>
      </w:r>
      <w:r w:rsidR="008E6AFF" w:rsidRPr="003C0CD7">
        <w:t xml:space="preserve"> </w:t>
      </w:r>
      <w:bookmarkEnd w:id="280"/>
    </w:p>
    <w:p w14:paraId="1FABD238" w14:textId="05DEE8D9" w:rsidR="002E40C7" w:rsidRPr="003C0CD7" w:rsidRDefault="00A32BB1" w:rsidP="003775F2">
      <w:pPr>
        <w:spacing w:before="120" w:after="120"/>
      </w:pPr>
      <w:r w:rsidRPr="003C0CD7">
        <w:rPr>
          <w:rFonts w:cs="Times New Roman"/>
        </w:rPr>
        <w:t>The Commission will ensure that the EU appropriate rules and procedures for providing financing to third parties are respected, including review procedures, where appropriate, and compliance of the action with EU restrictive measures</w:t>
      </w:r>
      <w:r w:rsidR="00F06A4D">
        <w:rPr>
          <w:rStyle w:val="FootnoteReference"/>
          <w:rFonts w:cs="Times New Roman"/>
        </w:rPr>
        <w:footnoteReference w:id="9"/>
      </w:r>
      <w:r w:rsidRPr="003C0CD7">
        <w:rPr>
          <w:rFonts w:cs="Times New Roman"/>
        </w:rPr>
        <w:t>.</w:t>
      </w:r>
    </w:p>
    <w:p w14:paraId="1DAC8184" w14:textId="77777777" w:rsidR="008E6AFF" w:rsidRPr="003C0CD7" w:rsidRDefault="008E6AFF" w:rsidP="003C0CD7">
      <w:pPr>
        <w:pStyle w:val="Heading1"/>
        <w:numPr>
          <w:ilvl w:val="2"/>
          <w:numId w:val="1"/>
        </w:numPr>
      </w:pPr>
      <w:bookmarkStart w:id="281" w:name="_Toc47101972"/>
      <w:bookmarkStart w:id="282" w:name="_Toc51270467"/>
      <w:bookmarkStart w:id="283" w:name="_Ref58360228"/>
      <w:bookmarkStart w:id="284" w:name="_Ref58360553"/>
      <w:bookmarkStart w:id="285" w:name="_Ref58360670"/>
      <w:bookmarkStart w:id="286" w:name="_Ref58360706"/>
      <w:bookmarkStart w:id="287" w:name="_Ref58678954"/>
      <w:bookmarkStart w:id="288" w:name="_Ref58875949"/>
      <w:bookmarkStart w:id="289" w:name="_Toc59031684"/>
      <w:bookmarkStart w:id="290" w:name="_Toc73090766"/>
      <w:r w:rsidRPr="003C0CD7">
        <w:t>Direct Management (Grants</w:t>
      </w:r>
      <w:r w:rsidR="00994F13">
        <w:t>)</w:t>
      </w:r>
      <w:bookmarkEnd w:id="281"/>
      <w:bookmarkEnd w:id="282"/>
      <w:bookmarkEnd w:id="283"/>
      <w:bookmarkEnd w:id="284"/>
      <w:bookmarkEnd w:id="285"/>
      <w:bookmarkEnd w:id="286"/>
      <w:bookmarkEnd w:id="287"/>
      <w:bookmarkEnd w:id="288"/>
      <w:bookmarkEnd w:id="289"/>
      <w:bookmarkEnd w:id="290"/>
    </w:p>
    <w:p w14:paraId="149C17DA" w14:textId="77777777" w:rsidR="001B258E" w:rsidRPr="008077F2" w:rsidRDefault="00666B2C" w:rsidP="00A112B0">
      <w:pPr>
        <w:pStyle w:val="Heading1"/>
        <w:numPr>
          <w:ilvl w:val="3"/>
          <w:numId w:val="111"/>
        </w:numPr>
      </w:pPr>
      <w:r>
        <w:rPr>
          <w:color w:val="auto"/>
        </w:rPr>
        <w:t xml:space="preserve">Grants </w:t>
      </w:r>
    </w:p>
    <w:p w14:paraId="434BC62F" w14:textId="77777777" w:rsidR="00A32BB1" w:rsidRPr="003C0CD7" w:rsidRDefault="00A32BB1" w:rsidP="00A32BB1">
      <w:pPr>
        <w:rPr>
          <w:rFonts w:cs="Times New Roman"/>
          <w:b/>
        </w:rPr>
      </w:pPr>
      <w:r w:rsidRPr="003C0CD7">
        <w:rPr>
          <w:rFonts w:cs="Times New Roman"/>
          <w:b/>
        </w:rPr>
        <w:t>(a) Purpose of the grant(s)</w:t>
      </w:r>
    </w:p>
    <w:p w14:paraId="4CFED78F" w14:textId="77777777" w:rsidR="001B258E" w:rsidRDefault="001B258E" w:rsidP="00A32BB1">
      <w:pPr>
        <w:rPr>
          <w:rFonts w:cs="Times New Roman"/>
          <w:highlight w:val="yellow"/>
        </w:rPr>
      </w:pPr>
    </w:p>
    <w:p w14:paraId="2E1792D0" w14:textId="64807A16" w:rsidR="00F93264" w:rsidRPr="004A4C6A" w:rsidRDefault="00932379" w:rsidP="00A32BB1">
      <w:pPr>
        <w:rPr>
          <w:rFonts w:cs="Times New Roman"/>
        </w:rPr>
      </w:pPr>
      <w:r w:rsidRPr="004A4C6A">
        <w:rPr>
          <w:rFonts w:cs="Times New Roman"/>
        </w:rPr>
        <w:t xml:space="preserve">Grants will contribute to achieving </w:t>
      </w:r>
      <w:r w:rsidR="00F93264" w:rsidRPr="004A4C6A">
        <w:rPr>
          <w:rFonts w:cs="Times New Roman"/>
        </w:rPr>
        <w:t>all six outcomes indicated in the intervention logic.</w:t>
      </w:r>
    </w:p>
    <w:p w14:paraId="074796BF" w14:textId="77777777" w:rsidR="001B258E" w:rsidRDefault="001B258E" w:rsidP="00A32BB1">
      <w:pPr>
        <w:rPr>
          <w:rFonts w:cs="Times New Roman"/>
          <w:b/>
        </w:rPr>
      </w:pPr>
    </w:p>
    <w:p w14:paraId="606ECE9D" w14:textId="77777777" w:rsidR="00A32BB1" w:rsidRPr="003C0CD7" w:rsidRDefault="00A32BB1" w:rsidP="00A32BB1">
      <w:pPr>
        <w:rPr>
          <w:rFonts w:cs="Times New Roman"/>
          <w:b/>
        </w:rPr>
      </w:pPr>
      <w:r w:rsidRPr="003C0CD7">
        <w:rPr>
          <w:rFonts w:cs="Times New Roman"/>
          <w:b/>
        </w:rPr>
        <w:t>(b) Type of applicants targeted</w:t>
      </w:r>
    </w:p>
    <w:p w14:paraId="78494AB0" w14:textId="6D72E8DA" w:rsidR="006B7D5B" w:rsidRDefault="001B269A" w:rsidP="00A32BB1">
      <w:pPr>
        <w:pStyle w:val="Text2"/>
        <w:ind w:left="0"/>
        <w:rPr>
          <w:lang w:val="en-GB"/>
        </w:rPr>
      </w:pPr>
      <w:r w:rsidRPr="004A4C6A">
        <w:t xml:space="preserve">Potential applicants are </w:t>
      </w:r>
      <w:r w:rsidR="00186DC2" w:rsidRPr="00D21DF2">
        <w:t>non-profit making</w:t>
      </w:r>
      <w:r w:rsidR="00186DC2" w:rsidRPr="00186DC2">
        <w:t xml:space="preserve"> </w:t>
      </w:r>
      <w:r w:rsidRPr="004A4C6A">
        <w:t>l</w:t>
      </w:r>
      <w:r w:rsidR="006B7D5B" w:rsidRPr="004A4C6A">
        <w:t>egal or natural persons</w:t>
      </w:r>
      <w:r w:rsidRPr="004A4C6A">
        <w:t xml:space="preserve">. </w:t>
      </w:r>
      <w:r w:rsidR="00917064" w:rsidRPr="004A4C6A">
        <w:t xml:space="preserve">Applicants </w:t>
      </w:r>
      <w:r w:rsidR="00186DC2">
        <w:t>may</w:t>
      </w:r>
      <w:r w:rsidR="00917064" w:rsidRPr="004A4C6A">
        <w:t xml:space="preserve"> be</w:t>
      </w:r>
      <w:r w:rsidR="00F3263D" w:rsidRPr="004A4C6A">
        <w:t xml:space="preserve"> </w:t>
      </w:r>
      <w:r w:rsidR="00F3263D" w:rsidRPr="004A4C6A">
        <w:rPr>
          <w:lang w:val="en-GB"/>
        </w:rPr>
        <w:t>organisation</w:t>
      </w:r>
      <w:r w:rsidR="00917064" w:rsidRPr="004A4C6A">
        <w:rPr>
          <w:lang w:val="en-GB"/>
        </w:rPr>
        <w:t>s</w:t>
      </w:r>
      <w:r w:rsidR="00F3263D" w:rsidRPr="004A4C6A">
        <w:rPr>
          <w:lang w:val="en-GB"/>
        </w:rPr>
        <w:t xml:space="preserve"> such as non-governmental organisation, public sector operator, local authority, international (inter-governmental) organisation as defined by Article </w:t>
      </w:r>
      <w:r w:rsidR="0000136E">
        <w:rPr>
          <w:lang w:val="en-GB"/>
        </w:rPr>
        <w:t>159</w:t>
      </w:r>
      <w:r w:rsidR="0000136E" w:rsidRPr="004A4C6A">
        <w:rPr>
          <w:lang w:val="en-GB"/>
        </w:rPr>
        <w:t xml:space="preserve"> </w:t>
      </w:r>
      <w:r w:rsidR="00F3263D" w:rsidRPr="004A4C6A">
        <w:rPr>
          <w:lang w:val="en-GB"/>
        </w:rPr>
        <w:t xml:space="preserve">of the </w:t>
      </w:r>
      <w:r w:rsidR="00055EC9" w:rsidRPr="00055EC9">
        <w:rPr>
          <w:lang w:val="en-GB"/>
        </w:rPr>
        <w:t>Regulation (EU, Euratom) 2024/2509 of the European Parliament and of the Council of 23 September 2024 on the financial rules applicable to the general budget of the Union</w:t>
      </w:r>
      <w:r w:rsidR="00917064" w:rsidRPr="004A4C6A">
        <w:rPr>
          <w:lang w:val="en-GB"/>
        </w:rPr>
        <w:t>.</w:t>
      </w:r>
    </w:p>
    <w:p w14:paraId="7294C190" w14:textId="6C5BE6A8" w:rsidR="006B7D5B" w:rsidRDefault="00BF6745" w:rsidP="00A32BB1">
      <w:pPr>
        <w:pStyle w:val="Text2"/>
        <w:ind w:left="0"/>
      </w:pPr>
      <w:r>
        <w:t>D</w:t>
      </w:r>
      <w:r w:rsidRPr="00530F7F">
        <w:t>irect awards may still later be decided</w:t>
      </w:r>
      <w:r w:rsidRPr="00BF6745">
        <w:t>, through a substantiated award decision</w:t>
      </w:r>
      <w:r>
        <w:t xml:space="preserve"> and a</w:t>
      </w:r>
      <w:r w:rsidR="005333FE" w:rsidRPr="004A4C6A">
        <w:t xml:space="preserve">ccording to </w:t>
      </w:r>
      <w:r w:rsidR="0070248C">
        <w:t xml:space="preserve">Article </w:t>
      </w:r>
      <w:r w:rsidR="0026369F">
        <w:t>198</w:t>
      </w:r>
      <w:r w:rsidR="005333FE" w:rsidRPr="004A4C6A">
        <w:t xml:space="preserve"> of the Financial Regulation</w:t>
      </w:r>
      <w:r>
        <w:t>.</w:t>
      </w:r>
    </w:p>
    <w:p w14:paraId="4942E4D8" w14:textId="1E833F26" w:rsidR="00666B2C" w:rsidRDefault="00666B2C" w:rsidP="00666B2C">
      <w:r>
        <w:rPr>
          <w:iCs/>
        </w:rPr>
        <w:t xml:space="preserve">The part of the action under the budgetary envelope reserved for grants may, partially or totally and including where an entity is designated for receiving a grant without a call for proposals, be implemented in indirect management with an entity, which will be selected by the Commission’s services using </w:t>
      </w:r>
      <w:r w:rsidRPr="004A4C6A">
        <w:t xml:space="preserve">the following criteria: </w:t>
      </w:r>
      <w:r w:rsidR="00F120EC" w:rsidRPr="004A4C6A">
        <w:t xml:space="preserve">have suitable </w:t>
      </w:r>
      <w:r w:rsidR="00E57DB2" w:rsidRPr="004A4C6A">
        <w:t>past</w:t>
      </w:r>
      <w:r w:rsidR="00F120EC" w:rsidRPr="004A4C6A">
        <w:t xml:space="preserve"> </w:t>
      </w:r>
      <w:r w:rsidR="00AA7769" w:rsidRPr="004A4C6A">
        <w:t xml:space="preserve">professional </w:t>
      </w:r>
      <w:r w:rsidR="00E57DB2" w:rsidRPr="004A4C6A">
        <w:t>experience</w:t>
      </w:r>
      <w:r w:rsidR="00AA7769" w:rsidRPr="004A4C6A">
        <w:t>s</w:t>
      </w:r>
      <w:r w:rsidR="00E57DB2" w:rsidRPr="004A4C6A">
        <w:t xml:space="preserve">, </w:t>
      </w:r>
      <w:r w:rsidR="00AB5EBE" w:rsidRPr="004A4C6A">
        <w:t xml:space="preserve">technical </w:t>
      </w:r>
      <w:r w:rsidR="00F120EC" w:rsidRPr="004A4C6A">
        <w:t>expertise</w:t>
      </w:r>
      <w:r w:rsidR="00AA7769" w:rsidRPr="004A4C6A">
        <w:t>, competencies,</w:t>
      </w:r>
      <w:r w:rsidR="00E57DB2" w:rsidRPr="004A4C6A">
        <w:t xml:space="preserve"> and</w:t>
      </w:r>
      <w:r w:rsidR="00F120EC" w:rsidRPr="004A4C6A">
        <w:t xml:space="preserve"> </w:t>
      </w:r>
      <w:r w:rsidR="00316268" w:rsidRPr="004A4C6A">
        <w:t>financial</w:t>
      </w:r>
      <w:r w:rsidR="00F120EC" w:rsidRPr="004A4C6A">
        <w:t xml:space="preserve"> capacity to implement </w:t>
      </w:r>
      <w:r w:rsidR="00BA77CA" w:rsidRPr="004A4C6A">
        <w:t>priority areas of the Common Regional Market Action Plan I</w:t>
      </w:r>
      <w:r w:rsidR="00AA7769" w:rsidRPr="004A4C6A">
        <w:t>I</w:t>
      </w:r>
      <w:r>
        <w:rPr>
          <w:iCs/>
        </w:rPr>
        <w:t>.</w:t>
      </w:r>
    </w:p>
    <w:p w14:paraId="67A1FE9E" w14:textId="77777777" w:rsidR="00E0381D" w:rsidRDefault="00E0381D" w:rsidP="00666B2C">
      <w:pPr>
        <w:rPr>
          <w:iCs/>
        </w:rPr>
      </w:pPr>
    </w:p>
    <w:p w14:paraId="16A3A9EC" w14:textId="77777777" w:rsidR="00E0381D" w:rsidRPr="003609DE" w:rsidRDefault="00E0381D" w:rsidP="00E0381D">
      <w:pPr>
        <w:pStyle w:val="Text2"/>
        <w:ind w:left="0"/>
        <w:rPr>
          <w:rFonts w:eastAsiaTheme="minorHAnsi"/>
          <w:b/>
          <w:szCs w:val="22"/>
        </w:rPr>
      </w:pPr>
      <w:r w:rsidRPr="003609DE">
        <w:rPr>
          <w:rFonts w:eastAsiaTheme="minorHAnsi"/>
          <w:b/>
          <w:szCs w:val="22"/>
        </w:rPr>
        <w:t>(c) Exception to the non-retroactivity of costs</w:t>
      </w:r>
    </w:p>
    <w:p w14:paraId="58AF0780" w14:textId="23052FA8" w:rsidR="00E0381D" w:rsidRDefault="00E0381D" w:rsidP="00666B2C">
      <w:pPr>
        <w:rPr>
          <w:rFonts w:cs="Times New Roman"/>
          <w:szCs w:val="24"/>
        </w:rPr>
      </w:pPr>
      <w:r w:rsidRPr="00CA1813">
        <w:rPr>
          <w:rFonts w:cs="Times New Roman"/>
          <w:szCs w:val="24"/>
        </w:rPr>
        <w:lastRenderedPageBreak/>
        <w:t>The Commission authorises that costs incurred may be recognised as eligible as of 1</w:t>
      </w:r>
      <w:r>
        <w:rPr>
          <w:rFonts w:cs="Times New Roman"/>
          <w:szCs w:val="24"/>
        </w:rPr>
        <w:t xml:space="preserve"> </w:t>
      </w:r>
      <w:r w:rsidR="000C5DE1">
        <w:rPr>
          <w:rFonts w:cs="Times New Roman"/>
          <w:szCs w:val="24"/>
        </w:rPr>
        <w:t>April</w:t>
      </w:r>
      <w:r>
        <w:rPr>
          <w:rFonts w:cs="Times New Roman"/>
          <w:szCs w:val="24"/>
        </w:rPr>
        <w:t xml:space="preserve"> </w:t>
      </w:r>
      <w:r w:rsidRPr="00CA1813">
        <w:rPr>
          <w:rFonts w:cs="Times New Roman"/>
          <w:szCs w:val="24"/>
        </w:rPr>
        <w:t>202</w:t>
      </w:r>
      <w:r w:rsidR="000C5DE1">
        <w:rPr>
          <w:rFonts w:cs="Times New Roman"/>
          <w:szCs w:val="24"/>
        </w:rPr>
        <w:t>5</w:t>
      </w:r>
      <w:r>
        <w:rPr>
          <w:rFonts w:cs="Times New Roman"/>
          <w:szCs w:val="24"/>
        </w:rPr>
        <w:t>.</w:t>
      </w:r>
      <w:r w:rsidRPr="00CA1813">
        <w:rPr>
          <w:rFonts w:cs="Times New Roman"/>
          <w:szCs w:val="24"/>
        </w:rPr>
        <w:t xml:space="preserve"> </w:t>
      </w:r>
      <w:bookmarkStart w:id="291" w:name="_Hlk145503942"/>
      <w:r w:rsidRPr="00CA1813">
        <w:rPr>
          <w:rFonts w:cs="Times New Roman"/>
          <w:szCs w:val="24"/>
        </w:rPr>
        <w:t>Cost eligibility as of 1</w:t>
      </w:r>
      <w:r>
        <w:rPr>
          <w:rFonts w:cs="Times New Roman"/>
          <w:szCs w:val="24"/>
        </w:rPr>
        <w:t xml:space="preserve"> </w:t>
      </w:r>
      <w:r w:rsidR="00FD6FF0">
        <w:rPr>
          <w:rFonts w:cs="Times New Roman"/>
          <w:szCs w:val="24"/>
        </w:rPr>
        <w:t>April</w:t>
      </w:r>
      <w:r>
        <w:rPr>
          <w:rFonts w:cs="Times New Roman"/>
          <w:szCs w:val="24"/>
        </w:rPr>
        <w:t xml:space="preserve"> </w:t>
      </w:r>
      <w:r w:rsidRPr="00CA1813">
        <w:rPr>
          <w:rFonts w:cs="Times New Roman"/>
          <w:szCs w:val="24"/>
        </w:rPr>
        <w:t>202</w:t>
      </w:r>
      <w:r w:rsidR="00FD6FF0">
        <w:rPr>
          <w:rFonts w:cs="Times New Roman"/>
          <w:szCs w:val="24"/>
        </w:rPr>
        <w:t>5</w:t>
      </w:r>
      <w:r w:rsidRPr="00CA1813">
        <w:rPr>
          <w:rFonts w:cs="Times New Roman"/>
          <w:szCs w:val="24"/>
        </w:rPr>
        <w:t xml:space="preserve"> would allow a smooth transition </w:t>
      </w:r>
      <w:r w:rsidR="00FD6FF0">
        <w:rPr>
          <w:rFonts w:cs="Times New Roman"/>
          <w:szCs w:val="24"/>
        </w:rPr>
        <w:t>for</w:t>
      </w:r>
      <w:r w:rsidR="00A85255">
        <w:rPr>
          <w:rFonts w:cs="Times New Roman"/>
          <w:szCs w:val="24"/>
        </w:rPr>
        <w:t xml:space="preserve"> </w:t>
      </w:r>
      <w:r w:rsidR="00FD6D59">
        <w:rPr>
          <w:rFonts w:cs="Times New Roman"/>
          <w:szCs w:val="24"/>
        </w:rPr>
        <w:t>IPA III</w:t>
      </w:r>
      <w:r w:rsidR="00897333">
        <w:rPr>
          <w:rFonts w:cs="Times New Roman"/>
          <w:szCs w:val="24"/>
        </w:rPr>
        <w:t xml:space="preserve"> regional</w:t>
      </w:r>
      <w:r w:rsidR="00FD6D59">
        <w:rPr>
          <w:rFonts w:cs="Times New Roman"/>
          <w:szCs w:val="24"/>
        </w:rPr>
        <w:t xml:space="preserve"> </w:t>
      </w:r>
      <w:r w:rsidR="00581898">
        <w:rPr>
          <w:rFonts w:cs="Times New Roman"/>
          <w:szCs w:val="24"/>
        </w:rPr>
        <w:t xml:space="preserve">programmes </w:t>
      </w:r>
      <w:r w:rsidR="00A85255">
        <w:rPr>
          <w:rFonts w:cs="Times New Roman"/>
          <w:szCs w:val="24"/>
        </w:rPr>
        <w:t>extended through a</w:t>
      </w:r>
      <w:r w:rsidR="000F68F8">
        <w:rPr>
          <w:rFonts w:cs="Times New Roman"/>
          <w:szCs w:val="24"/>
        </w:rPr>
        <w:t xml:space="preserve"> follow-up phase</w:t>
      </w:r>
      <w:r w:rsidR="00A85255">
        <w:rPr>
          <w:rFonts w:cs="Times New Roman"/>
          <w:szCs w:val="24"/>
        </w:rPr>
        <w:t>.</w:t>
      </w:r>
      <w:r w:rsidR="003F2321">
        <w:rPr>
          <w:rFonts w:cs="Times New Roman"/>
          <w:szCs w:val="24"/>
        </w:rPr>
        <w:t xml:space="preserve"> </w:t>
      </w:r>
      <w:r w:rsidR="00294879">
        <w:rPr>
          <w:rFonts w:cs="Times New Roman"/>
          <w:szCs w:val="24"/>
        </w:rPr>
        <w:t>T</w:t>
      </w:r>
      <w:r w:rsidR="002C763A">
        <w:rPr>
          <w:rFonts w:cs="Times New Roman"/>
          <w:szCs w:val="24"/>
        </w:rPr>
        <w:t xml:space="preserve">he </w:t>
      </w:r>
      <w:r w:rsidR="00294879">
        <w:rPr>
          <w:rFonts w:cs="Times New Roman"/>
          <w:szCs w:val="24"/>
        </w:rPr>
        <w:t xml:space="preserve">indicative </w:t>
      </w:r>
      <w:r w:rsidR="002C763A">
        <w:rPr>
          <w:rFonts w:cs="Times New Roman"/>
          <w:szCs w:val="24"/>
        </w:rPr>
        <w:t>timeline for</w:t>
      </w:r>
      <w:r w:rsidR="000F68F8">
        <w:rPr>
          <w:rFonts w:cs="Times New Roman"/>
          <w:szCs w:val="24"/>
        </w:rPr>
        <w:t xml:space="preserve"> </w:t>
      </w:r>
      <w:r w:rsidR="00C60270">
        <w:rPr>
          <w:rFonts w:cs="Times New Roman"/>
          <w:szCs w:val="24"/>
        </w:rPr>
        <w:t>the Financing Decision</w:t>
      </w:r>
      <w:r w:rsidR="00294879">
        <w:rPr>
          <w:rFonts w:cs="Times New Roman"/>
          <w:szCs w:val="24"/>
        </w:rPr>
        <w:t xml:space="preserve"> is </w:t>
      </w:r>
      <w:r w:rsidR="009861FA">
        <w:rPr>
          <w:rFonts w:cs="Times New Roman"/>
          <w:szCs w:val="24"/>
        </w:rPr>
        <w:t xml:space="preserve">end of </w:t>
      </w:r>
      <w:r w:rsidR="009342D0">
        <w:rPr>
          <w:rFonts w:cs="Times New Roman"/>
          <w:szCs w:val="24"/>
        </w:rPr>
        <w:t xml:space="preserve">April </w:t>
      </w:r>
      <w:r w:rsidR="00294879">
        <w:rPr>
          <w:rFonts w:cs="Times New Roman"/>
          <w:szCs w:val="24"/>
        </w:rPr>
        <w:t>2025.</w:t>
      </w:r>
    </w:p>
    <w:p w14:paraId="265E6D98" w14:textId="2913847F" w:rsidR="008E6AFF" w:rsidRPr="003C0CD7" w:rsidRDefault="008E6AFF" w:rsidP="003C0CD7">
      <w:pPr>
        <w:pStyle w:val="Heading1"/>
        <w:numPr>
          <w:ilvl w:val="2"/>
          <w:numId w:val="1"/>
        </w:numPr>
      </w:pPr>
      <w:bookmarkStart w:id="292" w:name="_Toc47101975"/>
      <w:bookmarkStart w:id="293" w:name="_Toc51270470"/>
      <w:bookmarkStart w:id="294" w:name="_Ref58358029"/>
      <w:bookmarkStart w:id="295" w:name="_Ref58360596"/>
      <w:bookmarkStart w:id="296" w:name="_Ref58360612"/>
      <w:bookmarkStart w:id="297" w:name="_Toc59031687"/>
      <w:bookmarkStart w:id="298" w:name="_Toc73090769"/>
      <w:bookmarkEnd w:id="291"/>
      <w:r w:rsidRPr="003C0CD7">
        <w:t xml:space="preserve">Indirect Management with </w:t>
      </w:r>
      <w:bookmarkEnd w:id="292"/>
      <w:bookmarkEnd w:id="293"/>
      <w:bookmarkEnd w:id="294"/>
      <w:bookmarkEnd w:id="295"/>
      <w:bookmarkEnd w:id="296"/>
      <w:bookmarkEnd w:id="297"/>
      <w:bookmarkEnd w:id="298"/>
      <w:r w:rsidR="00001C85">
        <w:t xml:space="preserve">a </w:t>
      </w:r>
      <w:r w:rsidR="00001C85" w:rsidRPr="001A22F2">
        <w:rPr>
          <w:color w:val="auto"/>
        </w:rPr>
        <w:t>pillar-assessed entity</w:t>
      </w:r>
    </w:p>
    <w:p w14:paraId="2DE6597D" w14:textId="051039A7" w:rsidR="00506B8C" w:rsidRDefault="00506B8C" w:rsidP="00E647FF">
      <w:pPr>
        <w:pStyle w:val="Text2"/>
        <w:ind w:left="0"/>
      </w:pPr>
      <w:r w:rsidRPr="004A4C6A">
        <w:t>A part of</w:t>
      </w:r>
      <w:r w:rsidR="00665634" w:rsidRPr="004A4C6A">
        <w:t xml:space="preserve"> </w:t>
      </w:r>
      <w:r w:rsidRPr="004A4C6A">
        <w:t>this action may be implemented in indirect management with a pillar assessed entity, which will be selected by the Commission’s services using the following criteria:</w:t>
      </w:r>
    </w:p>
    <w:p w14:paraId="6C332EFC" w14:textId="3FEF103A" w:rsidR="00665634" w:rsidRPr="004A4C6A" w:rsidRDefault="00665634" w:rsidP="00665634">
      <w:pPr>
        <w:pStyle w:val="ListParagraph"/>
        <w:numPr>
          <w:ilvl w:val="0"/>
          <w:numId w:val="126"/>
        </w:numPr>
        <w:autoSpaceDE w:val="0"/>
        <w:autoSpaceDN w:val="0"/>
        <w:adjustRightInd w:val="0"/>
        <w:spacing w:after="27"/>
        <w:jc w:val="left"/>
        <w:rPr>
          <w:rFonts w:cs="Times New Roman"/>
          <w:color w:val="0D0D0D" w:themeColor="text1" w:themeTint="F2"/>
        </w:rPr>
      </w:pPr>
      <w:r w:rsidRPr="004A4C6A">
        <w:rPr>
          <w:rFonts w:cs="Times New Roman"/>
          <w:color w:val="0D0D0D" w:themeColor="text1" w:themeTint="F2"/>
        </w:rPr>
        <w:t xml:space="preserve">Extensive track-record </w:t>
      </w:r>
      <w:r>
        <w:rPr>
          <w:rFonts w:cs="Times New Roman"/>
          <w:color w:val="0D0D0D" w:themeColor="text1" w:themeTint="F2"/>
        </w:rPr>
        <w:t xml:space="preserve">and expertise </w:t>
      </w:r>
      <w:r w:rsidRPr="004A4C6A">
        <w:rPr>
          <w:rFonts w:cs="Times New Roman"/>
          <w:color w:val="0D0D0D" w:themeColor="text1" w:themeTint="F2"/>
        </w:rPr>
        <w:t xml:space="preserve">in </w:t>
      </w:r>
      <w:r>
        <w:rPr>
          <w:rFonts w:cs="Times New Roman"/>
          <w:color w:val="0D0D0D" w:themeColor="text1" w:themeTint="F2"/>
        </w:rPr>
        <w:t>relation to</w:t>
      </w:r>
      <w:r w:rsidRPr="004A4C6A">
        <w:rPr>
          <w:rFonts w:cs="Times New Roman"/>
          <w:color w:val="0D0D0D" w:themeColor="text1" w:themeTint="F2"/>
        </w:rPr>
        <w:t xml:space="preserve"> </w:t>
      </w:r>
      <w:r>
        <w:rPr>
          <w:rFonts w:cs="Times New Roman"/>
          <w:color w:val="0D0D0D" w:themeColor="text1" w:themeTint="F2"/>
        </w:rPr>
        <w:t xml:space="preserve">economic, </w:t>
      </w:r>
      <w:r w:rsidRPr="004A4C6A">
        <w:rPr>
          <w:rFonts w:cs="Times New Roman"/>
          <w:color w:val="0D0D0D" w:themeColor="text1" w:themeTint="F2"/>
        </w:rPr>
        <w:t>trade and regiona</w:t>
      </w:r>
      <w:r>
        <w:rPr>
          <w:rFonts w:cs="Times New Roman"/>
          <w:color w:val="0D0D0D" w:themeColor="text1" w:themeTint="F2"/>
        </w:rPr>
        <w:t>l</w:t>
      </w:r>
      <w:r w:rsidRPr="004A4C6A">
        <w:rPr>
          <w:rFonts w:cs="Times New Roman"/>
          <w:color w:val="0D0D0D" w:themeColor="text1" w:themeTint="F2"/>
        </w:rPr>
        <w:t xml:space="preserve"> integration in Western </w:t>
      </w:r>
      <w:proofErr w:type="gramStart"/>
      <w:r w:rsidRPr="004A4C6A">
        <w:rPr>
          <w:rFonts w:cs="Times New Roman"/>
          <w:color w:val="0D0D0D" w:themeColor="text1" w:themeTint="F2"/>
        </w:rPr>
        <w:t>Balkans;</w:t>
      </w:r>
      <w:proofErr w:type="gramEnd"/>
      <w:r w:rsidRPr="004A4C6A">
        <w:rPr>
          <w:rFonts w:cs="Times New Roman"/>
          <w:color w:val="0D0D0D" w:themeColor="text1" w:themeTint="F2"/>
        </w:rPr>
        <w:t xml:space="preserve"> </w:t>
      </w:r>
    </w:p>
    <w:p w14:paraId="029E5C02" w14:textId="75B18847" w:rsidR="00665634" w:rsidRDefault="004E3BC8" w:rsidP="00665634">
      <w:pPr>
        <w:pStyle w:val="ListParagraph"/>
        <w:numPr>
          <w:ilvl w:val="0"/>
          <w:numId w:val="126"/>
        </w:numPr>
        <w:autoSpaceDE w:val="0"/>
        <w:autoSpaceDN w:val="0"/>
        <w:adjustRightInd w:val="0"/>
        <w:spacing w:after="27"/>
        <w:jc w:val="left"/>
        <w:rPr>
          <w:rFonts w:cs="Times New Roman"/>
          <w:color w:val="000000"/>
          <w:sz w:val="23"/>
          <w:szCs w:val="23"/>
        </w:rPr>
      </w:pPr>
      <w:r>
        <w:rPr>
          <w:rFonts w:cs="Times New Roman"/>
          <w:color w:val="0D0D0D" w:themeColor="text1" w:themeTint="F2"/>
        </w:rPr>
        <w:t>Poli</w:t>
      </w:r>
      <w:r w:rsidR="009C45F4">
        <w:rPr>
          <w:rFonts w:cs="Times New Roman"/>
          <w:color w:val="0D0D0D" w:themeColor="text1" w:themeTint="F2"/>
        </w:rPr>
        <w:t>tical</w:t>
      </w:r>
      <w:r>
        <w:rPr>
          <w:rFonts w:cs="Times New Roman"/>
          <w:color w:val="0D0D0D" w:themeColor="text1" w:themeTint="F2"/>
        </w:rPr>
        <w:t xml:space="preserve"> independence and sound regional reputation</w:t>
      </w:r>
      <w:r w:rsidR="00665634" w:rsidRPr="00AA468D">
        <w:rPr>
          <w:rFonts w:cs="Times New Roman"/>
          <w:color w:val="0D0D0D" w:themeColor="text1" w:themeTint="F2"/>
        </w:rPr>
        <w:t xml:space="preserve"> </w:t>
      </w:r>
      <w:r w:rsidR="009C45F4">
        <w:rPr>
          <w:rFonts w:cs="Times New Roman"/>
          <w:color w:val="0D0D0D" w:themeColor="text1" w:themeTint="F2"/>
        </w:rPr>
        <w:t>gained during</w:t>
      </w:r>
      <w:r w:rsidR="00665634" w:rsidRPr="00AA468D">
        <w:rPr>
          <w:rFonts w:cs="Times New Roman"/>
          <w:color w:val="0D0D0D" w:themeColor="text1" w:themeTint="F2"/>
        </w:rPr>
        <w:t xml:space="preserve"> the negotiation and</w:t>
      </w:r>
      <w:r w:rsidR="00665634" w:rsidRPr="6D548B4D">
        <w:rPr>
          <w:rFonts w:cs="Times New Roman"/>
          <w:color w:val="000000" w:themeColor="text1"/>
          <w:sz w:val="23"/>
          <w:szCs w:val="23"/>
        </w:rPr>
        <w:t xml:space="preserve"> implementation of </w:t>
      </w:r>
      <w:r w:rsidR="00713FF8" w:rsidRPr="6D548B4D">
        <w:rPr>
          <w:rFonts w:cs="Times New Roman"/>
          <w:color w:val="000000" w:themeColor="text1"/>
          <w:sz w:val="23"/>
          <w:szCs w:val="23"/>
        </w:rPr>
        <w:t>Common Regional Market Action Plan I</w:t>
      </w:r>
      <w:r w:rsidR="009C45F4" w:rsidRPr="6D548B4D">
        <w:rPr>
          <w:rFonts w:cs="Times New Roman"/>
          <w:color w:val="000000" w:themeColor="text1"/>
          <w:sz w:val="23"/>
          <w:szCs w:val="23"/>
        </w:rPr>
        <w:t xml:space="preserve"> or </w:t>
      </w:r>
      <w:proofErr w:type="gramStart"/>
      <w:r w:rsidR="009C45F4" w:rsidRPr="6D548B4D">
        <w:rPr>
          <w:rFonts w:cs="Times New Roman"/>
          <w:color w:val="000000" w:themeColor="text1"/>
          <w:sz w:val="23"/>
          <w:szCs w:val="23"/>
        </w:rPr>
        <w:t>II</w:t>
      </w:r>
      <w:r w:rsidR="00713FF8" w:rsidRPr="6D548B4D">
        <w:rPr>
          <w:rFonts w:cs="Times New Roman"/>
          <w:color w:val="000000" w:themeColor="text1"/>
          <w:sz w:val="23"/>
          <w:szCs w:val="23"/>
        </w:rPr>
        <w:t>;</w:t>
      </w:r>
      <w:proofErr w:type="gramEnd"/>
    </w:p>
    <w:p w14:paraId="103C5FEB" w14:textId="1241F0BE" w:rsidR="00665634" w:rsidRPr="001C7B08" w:rsidRDefault="009C45F4" w:rsidP="00665634">
      <w:pPr>
        <w:pStyle w:val="ListParagraph"/>
        <w:numPr>
          <w:ilvl w:val="0"/>
          <w:numId w:val="126"/>
        </w:numPr>
        <w:autoSpaceDE w:val="0"/>
        <w:autoSpaceDN w:val="0"/>
        <w:adjustRightInd w:val="0"/>
        <w:spacing w:after="27"/>
        <w:jc w:val="left"/>
        <w:rPr>
          <w:rFonts w:cs="Times New Roman"/>
          <w:color w:val="000000"/>
        </w:rPr>
      </w:pPr>
      <w:r w:rsidRPr="6D548B4D">
        <w:rPr>
          <w:rFonts w:cs="Times New Roman"/>
          <w:color w:val="000000" w:themeColor="text1"/>
        </w:rPr>
        <w:t xml:space="preserve">Technical </w:t>
      </w:r>
      <w:r w:rsidR="005E23C4" w:rsidRPr="6D548B4D">
        <w:rPr>
          <w:rFonts w:cs="Times New Roman"/>
          <w:color w:val="000000" w:themeColor="text1"/>
        </w:rPr>
        <w:t xml:space="preserve">and financial </w:t>
      </w:r>
      <w:r w:rsidRPr="6D548B4D">
        <w:rPr>
          <w:rFonts w:cs="Times New Roman"/>
          <w:color w:val="000000" w:themeColor="text1"/>
        </w:rPr>
        <w:t>capacity</w:t>
      </w:r>
      <w:r w:rsidR="00665634" w:rsidRPr="6D548B4D">
        <w:rPr>
          <w:rFonts w:cs="Times New Roman"/>
          <w:color w:val="000000" w:themeColor="text1"/>
        </w:rPr>
        <w:t xml:space="preserve"> to support the capacities of relevant stakeholders in the region and promote their </w:t>
      </w:r>
      <w:proofErr w:type="gramStart"/>
      <w:r w:rsidR="00665634" w:rsidRPr="6D548B4D">
        <w:rPr>
          <w:rFonts w:cs="Times New Roman"/>
          <w:color w:val="000000" w:themeColor="text1"/>
        </w:rPr>
        <w:t>cooperation;</w:t>
      </w:r>
      <w:proofErr w:type="gramEnd"/>
    </w:p>
    <w:p w14:paraId="270E6218" w14:textId="0AFE2E2C" w:rsidR="00A53415" w:rsidRDefault="00506B8C" w:rsidP="00E647FF">
      <w:pPr>
        <w:pStyle w:val="Text2"/>
        <w:ind w:left="0"/>
      </w:pPr>
      <w:r w:rsidRPr="004A4C6A">
        <w:t xml:space="preserve">The implementation by this entity </w:t>
      </w:r>
      <w:r w:rsidR="00C67A04">
        <w:t xml:space="preserve">relates to various </w:t>
      </w:r>
      <w:r w:rsidR="00C3774D">
        <w:t>areas mentioned in the outcomes</w:t>
      </w:r>
      <w:r w:rsidR="0005688C">
        <w:t xml:space="preserve">, </w:t>
      </w:r>
      <w:proofErr w:type="gramStart"/>
      <w:r w:rsidR="0005688C">
        <w:t>in particular for</w:t>
      </w:r>
      <w:proofErr w:type="gramEnd"/>
      <w:r w:rsidR="0005688C">
        <w:t xml:space="preserve"> trade in goods and services, </w:t>
      </w:r>
      <w:r w:rsidR="00A53415">
        <w:t xml:space="preserve">intellectual property rights as well as financial and payment services. </w:t>
      </w:r>
    </w:p>
    <w:p w14:paraId="45F614A3" w14:textId="2CE8649F" w:rsidR="00974A4B" w:rsidRPr="00F1343E" w:rsidRDefault="590F0A26" w:rsidP="4AD9D353">
      <w:pPr>
        <w:rPr>
          <w:rFonts w:cs="Times New Roman"/>
        </w:rPr>
      </w:pPr>
      <w:r w:rsidRPr="2E41943B">
        <w:rPr>
          <w:rFonts w:cs="Times New Roman"/>
        </w:rPr>
        <w:t xml:space="preserve">The Commission authorises that costs incurred may be recognised as eligible as of 1 </w:t>
      </w:r>
      <w:r w:rsidR="6C15B3C7" w:rsidRPr="2E41943B">
        <w:rPr>
          <w:rFonts w:cs="Times New Roman"/>
        </w:rPr>
        <w:t>February</w:t>
      </w:r>
      <w:r w:rsidRPr="2E41943B">
        <w:rPr>
          <w:rFonts w:cs="Times New Roman"/>
        </w:rPr>
        <w:t xml:space="preserve"> 2025. Cost eligibility as of 1 </w:t>
      </w:r>
      <w:r w:rsidR="6C15B3C7" w:rsidRPr="2E41943B">
        <w:rPr>
          <w:rFonts w:cs="Times New Roman"/>
        </w:rPr>
        <w:t>February</w:t>
      </w:r>
      <w:r w:rsidRPr="2E41943B">
        <w:rPr>
          <w:rFonts w:cs="Times New Roman"/>
        </w:rPr>
        <w:t xml:space="preserve"> 2025 would allow a smooth transition for </w:t>
      </w:r>
      <w:r w:rsidR="14432335" w:rsidRPr="2E41943B">
        <w:rPr>
          <w:rFonts w:cs="Times New Roman"/>
        </w:rPr>
        <w:t xml:space="preserve">the current </w:t>
      </w:r>
      <w:r w:rsidRPr="2E41943B">
        <w:rPr>
          <w:rFonts w:cs="Times New Roman"/>
        </w:rPr>
        <w:t>IPA III regional programmes</w:t>
      </w:r>
      <w:r w:rsidR="14432335" w:rsidRPr="2E41943B">
        <w:rPr>
          <w:rFonts w:cs="Times New Roman"/>
        </w:rPr>
        <w:t xml:space="preserve"> that end in January </w:t>
      </w:r>
      <w:proofErr w:type="gramStart"/>
      <w:r w:rsidR="14432335" w:rsidRPr="2E41943B">
        <w:rPr>
          <w:rFonts w:cs="Times New Roman"/>
        </w:rPr>
        <w:t>2025 .</w:t>
      </w:r>
      <w:proofErr w:type="gramEnd"/>
      <w:r w:rsidR="14432335" w:rsidRPr="2E41943B">
        <w:rPr>
          <w:rFonts w:cs="Times New Roman"/>
        </w:rPr>
        <w:t xml:space="preserve"> This programme provides essential support for the implementation of CEFTA agreements, a key aspect of CRM AP II, as well as for the Growth Plan for Western Balkans.</w:t>
      </w:r>
      <w:r w:rsidRPr="2E41943B">
        <w:rPr>
          <w:rFonts w:cs="Times New Roman"/>
        </w:rPr>
        <w:t xml:space="preserve"> The indicative timeline for the Financing Decision is </w:t>
      </w:r>
      <w:r w:rsidR="5FC4F324" w:rsidRPr="2E41943B">
        <w:rPr>
          <w:rFonts w:cs="Times New Roman"/>
        </w:rPr>
        <w:t xml:space="preserve">end of </w:t>
      </w:r>
      <w:r w:rsidR="0857C7B3" w:rsidRPr="2E41943B">
        <w:rPr>
          <w:rFonts w:cs="Times New Roman"/>
        </w:rPr>
        <w:t xml:space="preserve">April </w:t>
      </w:r>
      <w:r w:rsidRPr="2E41943B">
        <w:rPr>
          <w:rFonts w:cs="Times New Roman"/>
        </w:rPr>
        <w:t>2025.</w:t>
      </w:r>
    </w:p>
    <w:p w14:paraId="69DD7B48" w14:textId="2EC380BB" w:rsidR="008E6AFF" w:rsidRPr="003C0CD7" w:rsidRDefault="008E6AFF" w:rsidP="003C0CD7">
      <w:pPr>
        <w:pStyle w:val="Heading1"/>
        <w:numPr>
          <w:ilvl w:val="2"/>
          <w:numId w:val="1"/>
        </w:numPr>
      </w:pPr>
      <w:bookmarkStart w:id="299" w:name="_Toc47101978"/>
      <w:bookmarkStart w:id="300" w:name="_Toc51270473"/>
      <w:bookmarkStart w:id="301" w:name="_Ref58440591"/>
      <w:bookmarkStart w:id="302" w:name="_Ref58440671"/>
      <w:bookmarkStart w:id="303" w:name="_Ref58678908"/>
      <w:bookmarkStart w:id="304" w:name="_Toc59031690"/>
      <w:bookmarkStart w:id="305" w:name="_Toc73090773"/>
      <w:r w:rsidRPr="003C0CD7">
        <w:t>Changes from indirect to direct management (and vice versa) mode due to exceptional circumstances</w:t>
      </w:r>
      <w:bookmarkEnd w:id="299"/>
      <w:bookmarkEnd w:id="300"/>
      <w:bookmarkEnd w:id="301"/>
      <w:bookmarkEnd w:id="302"/>
      <w:bookmarkEnd w:id="303"/>
      <w:bookmarkEnd w:id="304"/>
      <w:bookmarkEnd w:id="305"/>
    </w:p>
    <w:p w14:paraId="350B02B0" w14:textId="45D10D18" w:rsidR="00F13E4E" w:rsidRPr="004A4C6A" w:rsidRDefault="000113D1" w:rsidP="000113D1">
      <w:pPr>
        <w:rPr>
          <w:rFonts w:cs="Times New Roman"/>
        </w:rPr>
      </w:pPr>
      <w:r w:rsidRPr="004A4C6A">
        <w:rPr>
          <w:rFonts w:cs="Times New Roman"/>
        </w:rPr>
        <w:t xml:space="preserve">If the implementation modality under indirect management as defined in section </w:t>
      </w:r>
      <w:r w:rsidR="00D81EAA">
        <w:rPr>
          <w:rFonts w:cs="Times New Roman"/>
        </w:rPr>
        <w:t>4</w:t>
      </w:r>
      <w:r w:rsidR="001B6893" w:rsidRPr="004A4C6A">
        <w:rPr>
          <w:rFonts w:cs="Times New Roman"/>
        </w:rPr>
        <w:t>.3.2</w:t>
      </w:r>
      <w:r w:rsidRPr="004A4C6A">
        <w:rPr>
          <w:rFonts w:cs="Times New Roman"/>
        </w:rPr>
        <w:t xml:space="preserve"> cannot be implemented due to circumstances beyond the control of the Commission, the modality of implementation by grants under direct management would be used according to the following section </w:t>
      </w:r>
      <w:r w:rsidR="00322E3B">
        <w:rPr>
          <w:rFonts w:cs="Times New Roman"/>
        </w:rPr>
        <w:t>4</w:t>
      </w:r>
      <w:r w:rsidR="00FE1371" w:rsidRPr="004A4C6A">
        <w:rPr>
          <w:rFonts w:cs="Times New Roman"/>
        </w:rPr>
        <w:t>.3.1.1</w:t>
      </w:r>
      <w:r w:rsidR="00F13E4E" w:rsidRPr="004A4C6A">
        <w:rPr>
          <w:rFonts w:cs="Times New Roman"/>
        </w:rPr>
        <w:t>.</w:t>
      </w:r>
    </w:p>
    <w:p w14:paraId="4FBBA98C" w14:textId="77777777" w:rsidR="000113D1" w:rsidRPr="004A4C6A" w:rsidRDefault="000113D1" w:rsidP="000113D1">
      <w:pPr>
        <w:rPr>
          <w:rFonts w:cs="Times New Roman"/>
          <w:szCs w:val="24"/>
        </w:rPr>
      </w:pPr>
    </w:p>
    <w:p w14:paraId="3C987093" w14:textId="3D7316B0" w:rsidR="000113D1" w:rsidRPr="00212B20" w:rsidRDefault="000113D1" w:rsidP="008E6AFF">
      <w:pPr>
        <w:rPr>
          <w:rFonts w:cs="Times New Roman"/>
        </w:rPr>
      </w:pPr>
      <w:r w:rsidRPr="004A4C6A">
        <w:rPr>
          <w:rFonts w:cs="Times New Roman"/>
          <w:szCs w:val="24"/>
        </w:rPr>
        <w:t xml:space="preserve">If the implementation modality under direct management as defined in section </w:t>
      </w:r>
      <w:r w:rsidR="00006FF1">
        <w:rPr>
          <w:rFonts w:cs="Times New Roman"/>
          <w:szCs w:val="24"/>
        </w:rPr>
        <w:t>4</w:t>
      </w:r>
      <w:r w:rsidR="00842BD3" w:rsidRPr="004A4C6A">
        <w:rPr>
          <w:rFonts w:cs="Times New Roman"/>
          <w:szCs w:val="24"/>
        </w:rPr>
        <w:t>.3.1.1</w:t>
      </w:r>
      <w:r w:rsidRPr="004A4C6A">
        <w:rPr>
          <w:rFonts w:cs="Times New Roman"/>
          <w:szCs w:val="24"/>
        </w:rPr>
        <w:t xml:space="preserve"> cannot be implemented due to circumstances beyond the control of the Commission, the modality of implementation by indirect management with a pillar-assessed entity would be used according to section </w:t>
      </w:r>
      <w:r w:rsidR="003E3A06">
        <w:rPr>
          <w:rFonts w:cs="Times New Roman"/>
          <w:szCs w:val="24"/>
        </w:rPr>
        <w:t>4</w:t>
      </w:r>
      <w:r w:rsidR="006261D0" w:rsidRPr="004A4C6A">
        <w:rPr>
          <w:rFonts w:cs="Times New Roman"/>
          <w:szCs w:val="24"/>
        </w:rPr>
        <w:t>.3.2</w:t>
      </w:r>
      <w:r w:rsidR="00754AE8" w:rsidRPr="004A4C6A">
        <w:rPr>
          <w:rFonts w:cs="Times New Roman"/>
          <w:szCs w:val="24"/>
        </w:rPr>
        <w:t>.</w:t>
      </w:r>
    </w:p>
    <w:p w14:paraId="4B43CBD8" w14:textId="77777777" w:rsidR="008E6AFF" w:rsidRPr="003C0CD7" w:rsidRDefault="008E6AFF" w:rsidP="003C0CD7">
      <w:pPr>
        <w:pStyle w:val="Heading1"/>
        <w:numPr>
          <w:ilvl w:val="1"/>
          <w:numId w:val="1"/>
        </w:numPr>
      </w:pPr>
      <w:bookmarkStart w:id="306" w:name="_Toc47101979"/>
      <w:bookmarkStart w:id="307" w:name="_Toc51270474"/>
      <w:bookmarkStart w:id="308" w:name="_Ref58440353"/>
      <w:bookmarkStart w:id="309" w:name="_Toc73090774"/>
      <w:r w:rsidRPr="003C0CD7">
        <w:t>Scope of geographical eligibility for procurement and grants</w:t>
      </w:r>
      <w:bookmarkEnd w:id="306"/>
      <w:bookmarkEnd w:id="307"/>
      <w:bookmarkEnd w:id="308"/>
      <w:bookmarkEnd w:id="309"/>
    </w:p>
    <w:p w14:paraId="02EFF3A4" w14:textId="77777777" w:rsidR="00E360A2" w:rsidRPr="003C0CD7" w:rsidRDefault="00E360A2" w:rsidP="00E360A2">
      <w:pPr>
        <w:pStyle w:val="Text2"/>
        <w:ind w:left="0"/>
      </w:pPr>
      <w:r w:rsidRPr="003C0CD7">
        <w:t>The geographical eligibility in terms of place of establishment for participating in procurement and grant award procedures and in terms of origin of supplies purchased as established in the basic act and set out in the relevant contractual documents shall apply, subject to the following provisions.</w:t>
      </w:r>
    </w:p>
    <w:p w14:paraId="4A6289B5" w14:textId="462BD0EE" w:rsidR="00622FAE" w:rsidRPr="003C0CD7" w:rsidRDefault="00622FAE" w:rsidP="00E360A2">
      <w:pPr>
        <w:pStyle w:val="Text2"/>
        <w:ind w:left="0"/>
        <w:rPr>
          <w:szCs w:val="22"/>
          <w:lang w:eastAsia="en-GB"/>
        </w:rPr>
      </w:pPr>
      <w:r w:rsidRPr="003C0CD7">
        <w:rPr>
          <w:szCs w:val="22"/>
        </w:rPr>
        <w:t xml:space="preserve">The Commission’s authorising officer responsible may extend the geographical eligibility </w:t>
      </w:r>
      <w:proofErr w:type="gramStart"/>
      <w:r w:rsidRPr="003C0CD7">
        <w:rPr>
          <w:szCs w:val="22"/>
          <w:lang w:eastAsia="en-GB"/>
        </w:rPr>
        <w:t>on the basis of</w:t>
      </w:r>
      <w:proofErr w:type="gramEnd"/>
      <w:r w:rsidRPr="003C0CD7">
        <w:rPr>
          <w:szCs w:val="22"/>
          <w:lang w:eastAsia="en-GB"/>
        </w:rPr>
        <w:t xml:space="preserve"> urgency or of unavailability of services in the markets of the </w:t>
      </w:r>
      <w:r w:rsidR="00835A03">
        <w:rPr>
          <w:szCs w:val="22"/>
          <w:lang w:eastAsia="en-GB"/>
        </w:rPr>
        <w:t>Partners</w:t>
      </w:r>
      <w:r w:rsidR="00835A03" w:rsidRPr="003C0CD7">
        <w:rPr>
          <w:szCs w:val="22"/>
          <w:lang w:eastAsia="en-GB"/>
        </w:rPr>
        <w:t xml:space="preserve"> </w:t>
      </w:r>
      <w:r w:rsidRPr="003C0CD7">
        <w:rPr>
          <w:szCs w:val="22"/>
          <w:lang w:eastAsia="en-GB"/>
        </w:rPr>
        <w:t>or territories concerned, or in other duly substantiated cases where application of the eligibility rules would make the realisation of this action impossible or exceedingly difficult (Article 28(10) NDICI-Global Europe</w:t>
      </w:r>
      <w:r w:rsidRPr="003C0CD7">
        <w:rPr>
          <w:szCs w:val="22"/>
        </w:rPr>
        <w:t xml:space="preserve"> Regulation</w:t>
      </w:r>
      <w:r w:rsidRPr="003C0CD7">
        <w:rPr>
          <w:szCs w:val="22"/>
          <w:lang w:eastAsia="en-GB"/>
        </w:rPr>
        <w:t>).</w:t>
      </w:r>
    </w:p>
    <w:p w14:paraId="46948536" w14:textId="3B5578EF" w:rsidR="00E360A2" w:rsidRPr="003C0CD7" w:rsidRDefault="00DC79B3" w:rsidP="003775F2">
      <w:pPr>
        <w:pStyle w:val="Text2"/>
        <w:ind w:left="0"/>
      </w:pPr>
      <w:r w:rsidRPr="004A4C6A">
        <w:t xml:space="preserve">Due to the regional nature of the action, </w:t>
      </w:r>
      <w:proofErr w:type="gramStart"/>
      <w:r w:rsidRPr="004A4C6A">
        <w:t>in order to</w:t>
      </w:r>
      <w:proofErr w:type="gramEnd"/>
      <w:r w:rsidR="00D25BEE" w:rsidRPr="004A4C6A">
        <w:t xml:space="preserve"> </w:t>
      </w:r>
      <w:r w:rsidRPr="004A4C6A">
        <w:t>ensure the coherence and effectiveness of Union financing</w:t>
      </w:r>
      <w:r w:rsidR="00510A4A" w:rsidRPr="004A4C6A">
        <w:t xml:space="preserve"> </w:t>
      </w:r>
      <w:r w:rsidRPr="004A4C6A">
        <w:t>and</w:t>
      </w:r>
      <w:r w:rsidR="00510A4A" w:rsidRPr="004A4C6A">
        <w:t xml:space="preserve"> </w:t>
      </w:r>
      <w:r w:rsidRPr="004A4C6A">
        <w:t xml:space="preserve">to foster regional cooperation, the Commission decides to extend the eligibility of this action to </w:t>
      </w:r>
      <w:r w:rsidR="00D73A06" w:rsidRPr="004A4C6A">
        <w:t xml:space="preserve">Moldova. </w:t>
      </w:r>
      <w:r w:rsidR="009A6FBA" w:rsidRPr="004A4C6A">
        <w:t>For this multi-country action, natural persons who are nationals of, and legal persons who are effectively established in the</w:t>
      </w:r>
      <w:r w:rsidR="006D23FC" w:rsidRPr="004A4C6A">
        <w:t>se</w:t>
      </w:r>
      <w:r w:rsidR="009A6FBA" w:rsidRPr="004A4C6A">
        <w:t xml:space="preserve"> countries</w:t>
      </w:r>
      <w:r w:rsidR="006D23FC" w:rsidRPr="004A4C6A">
        <w:t>,</w:t>
      </w:r>
      <w:r w:rsidR="009A6FBA" w:rsidRPr="004A4C6A">
        <w:t xml:space="preserve"> </w:t>
      </w:r>
      <w:r w:rsidR="006D23FC" w:rsidRPr="004A4C6A">
        <w:t xml:space="preserve">are </w:t>
      </w:r>
      <w:r w:rsidR="009A6FBA" w:rsidRPr="004A4C6A">
        <w:t>also eligible</w:t>
      </w:r>
      <w:r w:rsidR="006D23FC" w:rsidRPr="004A4C6A">
        <w:t>.</w:t>
      </w:r>
    </w:p>
    <w:p w14:paraId="4AC73E69" w14:textId="164FF046" w:rsidR="008E6AFF" w:rsidRPr="003C0CD7" w:rsidRDefault="008E6AFF" w:rsidP="003C0CD7">
      <w:pPr>
        <w:pStyle w:val="Heading1"/>
        <w:numPr>
          <w:ilvl w:val="1"/>
          <w:numId w:val="1"/>
        </w:numPr>
      </w:pPr>
      <w:bookmarkStart w:id="310" w:name="_Toc47101980"/>
      <w:bookmarkStart w:id="311" w:name="_Toc51270475"/>
      <w:bookmarkStart w:id="312" w:name="_Ref58357938"/>
      <w:bookmarkStart w:id="313" w:name="_Ref58358953"/>
      <w:bookmarkStart w:id="314" w:name="_Ref58359519"/>
      <w:bookmarkStart w:id="315" w:name="_Ref58360787"/>
      <w:bookmarkStart w:id="316" w:name="_Ref58360817"/>
      <w:bookmarkStart w:id="317" w:name="_Toc59031692"/>
      <w:bookmarkStart w:id="318" w:name="_Toc73090775"/>
      <w:r w:rsidRPr="003C0CD7">
        <w:lastRenderedPageBreak/>
        <w:t>Indicative Budget</w:t>
      </w:r>
      <w:bookmarkEnd w:id="310"/>
      <w:bookmarkEnd w:id="311"/>
      <w:bookmarkEnd w:id="312"/>
      <w:bookmarkEnd w:id="313"/>
      <w:bookmarkEnd w:id="314"/>
      <w:bookmarkEnd w:id="315"/>
      <w:bookmarkEnd w:id="316"/>
      <w:bookmarkEnd w:id="317"/>
      <w:bookmarkEnd w:id="318"/>
      <w:r w:rsidR="00882892">
        <w:rPr>
          <w:rStyle w:val="FootnoteReference"/>
        </w:rPr>
        <w:footnoteReference w:id="10"/>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6"/>
        <w:gridCol w:w="2742"/>
        <w:gridCol w:w="2742"/>
      </w:tblGrid>
      <w:tr w:rsidR="00C15D97" w:rsidRPr="008704EA" w14:paraId="0579AEF9" w14:textId="090BC5E6" w:rsidTr="004A4C6A">
        <w:trPr>
          <w:trHeight w:val="1086"/>
        </w:trPr>
        <w:tc>
          <w:tcPr>
            <w:tcW w:w="5006" w:type="dxa"/>
            <w:shd w:val="clear" w:color="auto" w:fill="auto"/>
          </w:tcPr>
          <w:p w14:paraId="0015D57F" w14:textId="77777777" w:rsidR="00C25EBB" w:rsidRPr="003C0CD7" w:rsidRDefault="00C25EBB" w:rsidP="005364BC">
            <w:pPr>
              <w:pStyle w:val="Text2"/>
              <w:spacing w:before="60" w:after="60"/>
              <w:ind w:left="0"/>
              <w:jc w:val="center"/>
              <w:rPr>
                <w:b/>
                <w:bCs/>
              </w:rPr>
            </w:pPr>
            <w:r w:rsidRPr="003C0CD7">
              <w:rPr>
                <w:b/>
                <w:bCs/>
              </w:rPr>
              <w:t>Indicative Budget components</w:t>
            </w:r>
          </w:p>
        </w:tc>
        <w:tc>
          <w:tcPr>
            <w:tcW w:w="2742" w:type="dxa"/>
            <w:shd w:val="clear" w:color="auto" w:fill="auto"/>
          </w:tcPr>
          <w:p w14:paraId="60AC2620" w14:textId="59AC4EC9" w:rsidR="00C25EBB" w:rsidRPr="004A4C6A" w:rsidRDefault="00C25EBB" w:rsidP="005364BC">
            <w:pPr>
              <w:pStyle w:val="Text2"/>
              <w:spacing w:before="60" w:after="60"/>
              <w:ind w:left="0"/>
              <w:jc w:val="center"/>
              <w:rPr>
                <w:b/>
                <w:lang w:val="en-GB"/>
              </w:rPr>
            </w:pPr>
            <w:r w:rsidRPr="004A4C6A">
              <w:rPr>
                <w:b/>
                <w:lang w:val="en-GB"/>
              </w:rPr>
              <w:t>EU contribution</w:t>
            </w:r>
            <w:r w:rsidR="00401958">
              <w:rPr>
                <w:b/>
                <w:lang w:val="en-GB"/>
              </w:rPr>
              <w:t xml:space="preserve"> for 2025</w:t>
            </w:r>
          </w:p>
          <w:p w14:paraId="546AD43E" w14:textId="2323B84B" w:rsidR="00C25EBB" w:rsidRPr="003C0CD7" w:rsidRDefault="00C25EBB" w:rsidP="002E04C9">
            <w:pPr>
              <w:pStyle w:val="Text2"/>
              <w:spacing w:before="60" w:after="60"/>
              <w:ind w:left="0"/>
              <w:jc w:val="center"/>
              <w:rPr>
                <w:b/>
              </w:rPr>
            </w:pPr>
            <w:r w:rsidRPr="004A4C6A">
              <w:rPr>
                <w:b/>
                <w:lang w:val="en-GB"/>
              </w:rPr>
              <w:t>(amount in EUR)</w:t>
            </w:r>
          </w:p>
        </w:tc>
        <w:tc>
          <w:tcPr>
            <w:tcW w:w="2742" w:type="dxa"/>
          </w:tcPr>
          <w:p w14:paraId="51590BC9" w14:textId="64634098" w:rsidR="00401958" w:rsidRPr="00530F7F" w:rsidRDefault="00401958" w:rsidP="00401958">
            <w:pPr>
              <w:pStyle w:val="Text2"/>
              <w:spacing w:before="60" w:after="60"/>
              <w:ind w:left="0"/>
              <w:jc w:val="center"/>
              <w:rPr>
                <w:b/>
                <w:lang w:val="en-GB"/>
              </w:rPr>
            </w:pPr>
            <w:r w:rsidRPr="00530F7F">
              <w:rPr>
                <w:b/>
                <w:lang w:val="en-GB"/>
              </w:rPr>
              <w:t>EU contribution</w:t>
            </w:r>
            <w:r>
              <w:rPr>
                <w:b/>
                <w:lang w:val="en-GB"/>
              </w:rPr>
              <w:t xml:space="preserve"> for 2026</w:t>
            </w:r>
          </w:p>
          <w:p w14:paraId="45E15F16" w14:textId="2C61C8B9" w:rsidR="00AB4F03" w:rsidRPr="00AB4F03" w:rsidRDefault="00401958" w:rsidP="00C55E02">
            <w:pPr>
              <w:pStyle w:val="Text2"/>
              <w:spacing w:before="60" w:after="60"/>
              <w:ind w:left="0"/>
              <w:jc w:val="center"/>
              <w:rPr>
                <w:b/>
                <w:lang w:val="en-GB"/>
              </w:rPr>
            </w:pPr>
            <w:r w:rsidRPr="00530F7F">
              <w:rPr>
                <w:b/>
                <w:lang w:val="en-GB"/>
              </w:rPr>
              <w:t>(amount in EUR)</w:t>
            </w:r>
          </w:p>
        </w:tc>
      </w:tr>
      <w:tr w:rsidR="00D12E73" w:rsidRPr="008704EA" w14:paraId="5900EBE9" w14:textId="77777777" w:rsidTr="001801B7">
        <w:tc>
          <w:tcPr>
            <w:tcW w:w="5006" w:type="dxa"/>
            <w:shd w:val="clear" w:color="auto" w:fill="auto"/>
          </w:tcPr>
          <w:p w14:paraId="40F7F678" w14:textId="54BD0BC4" w:rsidR="00D12E73" w:rsidRPr="003B1983" w:rsidRDefault="00D12E73" w:rsidP="00A15807">
            <w:pPr>
              <w:pStyle w:val="Text2"/>
              <w:spacing w:before="60" w:after="60"/>
              <w:ind w:left="0"/>
              <w:rPr>
                <w:b/>
              </w:rPr>
            </w:pPr>
            <w:r>
              <w:rPr>
                <w:b/>
              </w:rPr>
              <w:t xml:space="preserve">Methods of </w:t>
            </w:r>
            <w:proofErr w:type="gramStart"/>
            <w:r>
              <w:rPr>
                <w:b/>
              </w:rPr>
              <w:t>implementation  -</w:t>
            </w:r>
            <w:proofErr w:type="gramEnd"/>
            <w:r>
              <w:rPr>
                <w:b/>
              </w:rPr>
              <w:t xml:space="preserve"> </w:t>
            </w:r>
            <w:r w:rsidRPr="003B09C3">
              <w:rPr>
                <w:b/>
              </w:rPr>
              <w:t xml:space="preserve">cf. section </w:t>
            </w:r>
            <w:r>
              <w:rPr>
                <w:b/>
              </w:rPr>
              <w:t>4.3</w:t>
            </w:r>
          </w:p>
        </w:tc>
        <w:tc>
          <w:tcPr>
            <w:tcW w:w="2742" w:type="dxa"/>
            <w:shd w:val="clear" w:color="auto" w:fill="auto"/>
          </w:tcPr>
          <w:p w14:paraId="03B733AA" w14:textId="77777777" w:rsidR="00D12E73" w:rsidRPr="004A4C6A" w:rsidRDefault="00D12E73" w:rsidP="00A15807">
            <w:pPr>
              <w:pStyle w:val="Text2"/>
              <w:spacing w:before="60" w:after="60"/>
              <w:ind w:left="0"/>
              <w:jc w:val="center"/>
            </w:pPr>
          </w:p>
        </w:tc>
        <w:tc>
          <w:tcPr>
            <w:tcW w:w="2742" w:type="dxa"/>
          </w:tcPr>
          <w:p w14:paraId="2645A613" w14:textId="77777777" w:rsidR="00D12E73" w:rsidRPr="003C0CD7" w:rsidRDefault="00D12E73" w:rsidP="00A15807">
            <w:pPr>
              <w:pStyle w:val="Text2"/>
              <w:spacing w:before="60" w:after="60"/>
              <w:ind w:left="0"/>
              <w:jc w:val="center"/>
              <w:rPr>
                <w:highlight w:val="yellow"/>
              </w:rPr>
            </w:pPr>
          </w:p>
        </w:tc>
      </w:tr>
      <w:tr w:rsidR="00696198" w:rsidRPr="008704EA" w14:paraId="2FDE2B6A" w14:textId="77777777" w:rsidTr="001801B7">
        <w:tc>
          <w:tcPr>
            <w:tcW w:w="5006" w:type="dxa"/>
            <w:shd w:val="clear" w:color="auto" w:fill="auto"/>
          </w:tcPr>
          <w:p w14:paraId="09ABB068" w14:textId="22E25FA9" w:rsidR="00696198" w:rsidRPr="003B1983" w:rsidRDefault="00696198" w:rsidP="00A15807">
            <w:pPr>
              <w:pStyle w:val="Text2"/>
              <w:spacing w:before="60" w:after="60"/>
              <w:ind w:left="0"/>
              <w:rPr>
                <w:b/>
              </w:rPr>
            </w:pPr>
            <w:r>
              <w:rPr>
                <w:b/>
              </w:rPr>
              <w:t>All outcomes</w:t>
            </w:r>
          </w:p>
        </w:tc>
        <w:tc>
          <w:tcPr>
            <w:tcW w:w="2742" w:type="dxa"/>
            <w:shd w:val="clear" w:color="auto" w:fill="auto"/>
          </w:tcPr>
          <w:p w14:paraId="1A9B36B6" w14:textId="77777777" w:rsidR="00696198" w:rsidRPr="004A4C6A" w:rsidRDefault="00696198" w:rsidP="00A15807">
            <w:pPr>
              <w:pStyle w:val="Text2"/>
              <w:spacing w:before="60" w:after="60"/>
              <w:ind w:left="0"/>
              <w:jc w:val="center"/>
            </w:pPr>
          </w:p>
        </w:tc>
        <w:tc>
          <w:tcPr>
            <w:tcW w:w="2742" w:type="dxa"/>
          </w:tcPr>
          <w:p w14:paraId="4F8EAF0B" w14:textId="77777777" w:rsidR="00696198" w:rsidRPr="003C0CD7" w:rsidRDefault="00696198" w:rsidP="00A15807">
            <w:pPr>
              <w:pStyle w:val="Text2"/>
              <w:spacing w:before="60" w:after="60"/>
              <w:ind w:left="0"/>
              <w:jc w:val="center"/>
              <w:rPr>
                <w:highlight w:val="yellow"/>
              </w:rPr>
            </w:pPr>
          </w:p>
        </w:tc>
      </w:tr>
      <w:tr w:rsidR="00C15D97" w:rsidRPr="008704EA" w14:paraId="2C671024" w14:textId="2AAA0642" w:rsidTr="001801B7">
        <w:tc>
          <w:tcPr>
            <w:tcW w:w="5006" w:type="dxa"/>
            <w:shd w:val="clear" w:color="auto" w:fill="auto"/>
          </w:tcPr>
          <w:p w14:paraId="2D57F51D" w14:textId="1DDEB094" w:rsidR="00A15807" w:rsidRPr="003B1983" w:rsidRDefault="00A15807" w:rsidP="00A15807">
            <w:pPr>
              <w:pStyle w:val="Text2"/>
              <w:spacing w:before="60" w:after="60"/>
              <w:ind w:left="0"/>
              <w:rPr>
                <w:b/>
              </w:rPr>
            </w:pPr>
            <w:r w:rsidRPr="003B1983">
              <w:rPr>
                <w:b/>
              </w:rPr>
              <w:t xml:space="preserve">Indirect management </w:t>
            </w:r>
            <w:r w:rsidR="003D1F6C" w:rsidRPr="003B1983">
              <w:rPr>
                <w:bCs/>
              </w:rPr>
              <w:t>– total envelope</w:t>
            </w:r>
            <w:r w:rsidR="00F06AEB" w:rsidRPr="003B1983">
              <w:rPr>
                <w:bCs/>
              </w:rPr>
              <w:t xml:space="preserve"> un</w:t>
            </w:r>
            <w:r w:rsidR="00F06AEB" w:rsidRPr="00256DE4">
              <w:rPr>
                <w:bCs/>
              </w:rPr>
              <w:t xml:space="preserve">der </w:t>
            </w:r>
            <w:r w:rsidR="003B1983" w:rsidRPr="00256DE4">
              <w:rPr>
                <w:bCs/>
              </w:rPr>
              <w:t>s</w:t>
            </w:r>
            <w:r w:rsidR="003B1983">
              <w:rPr>
                <w:bCs/>
              </w:rPr>
              <w:t xml:space="preserve">ection </w:t>
            </w:r>
            <w:r w:rsidR="007B7C38">
              <w:rPr>
                <w:bCs/>
              </w:rPr>
              <w:t>4.3.</w:t>
            </w:r>
            <w:r w:rsidR="00E64253">
              <w:rPr>
                <w:bCs/>
              </w:rPr>
              <w:t>2</w:t>
            </w:r>
          </w:p>
        </w:tc>
        <w:tc>
          <w:tcPr>
            <w:tcW w:w="2742" w:type="dxa"/>
            <w:shd w:val="clear" w:color="auto" w:fill="auto"/>
          </w:tcPr>
          <w:p w14:paraId="2263175A" w14:textId="2A08A447" w:rsidR="00A15807" w:rsidRPr="003C0CD7" w:rsidRDefault="002B4BC2" w:rsidP="00A15807">
            <w:pPr>
              <w:pStyle w:val="Text2"/>
              <w:spacing w:before="60" w:after="60"/>
              <w:ind w:left="0"/>
              <w:jc w:val="center"/>
              <w:rPr>
                <w:highlight w:val="yellow"/>
              </w:rPr>
            </w:pPr>
            <w:r w:rsidRPr="004A4C6A">
              <w:t>16 500 000</w:t>
            </w:r>
          </w:p>
        </w:tc>
        <w:tc>
          <w:tcPr>
            <w:tcW w:w="2742" w:type="dxa"/>
          </w:tcPr>
          <w:p w14:paraId="6FA753E9" w14:textId="77777777" w:rsidR="00AB4F03" w:rsidRPr="003C0CD7" w:rsidRDefault="00AB4F03" w:rsidP="00A15807">
            <w:pPr>
              <w:pStyle w:val="Text2"/>
              <w:spacing w:before="60" w:after="60"/>
              <w:ind w:left="0"/>
              <w:jc w:val="center"/>
              <w:rPr>
                <w:highlight w:val="yellow"/>
              </w:rPr>
            </w:pPr>
          </w:p>
        </w:tc>
      </w:tr>
      <w:tr w:rsidR="00C15D97" w:rsidRPr="008704EA" w14:paraId="01D052DC" w14:textId="7B74B899" w:rsidTr="001801B7">
        <w:tc>
          <w:tcPr>
            <w:tcW w:w="5006" w:type="dxa"/>
            <w:shd w:val="clear" w:color="auto" w:fill="auto"/>
          </w:tcPr>
          <w:p w14:paraId="08E310A5" w14:textId="63747236" w:rsidR="00A15807" w:rsidRPr="003C0CD7" w:rsidRDefault="00A15807" w:rsidP="00A15807">
            <w:pPr>
              <w:pStyle w:val="Text2"/>
              <w:spacing w:before="60" w:after="60"/>
              <w:ind w:left="0"/>
            </w:pPr>
            <w:r w:rsidRPr="003C0CD7">
              <w:rPr>
                <w:b/>
              </w:rPr>
              <w:t>Grants</w:t>
            </w:r>
            <w:r w:rsidRPr="003C0CD7">
              <w:t xml:space="preserve"> – total envelope</w:t>
            </w:r>
            <w:r w:rsidR="00E64253">
              <w:t xml:space="preserve"> under section 4.3.1</w:t>
            </w:r>
          </w:p>
        </w:tc>
        <w:tc>
          <w:tcPr>
            <w:tcW w:w="2742" w:type="dxa"/>
            <w:shd w:val="clear" w:color="auto" w:fill="auto"/>
          </w:tcPr>
          <w:p w14:paraId="0A023C12" w14:textId="4B56CF6A" w:rsidR="00A15807" w:rsidRPr="003C0CD7" w:rsidRDefault="00F33DDB" w:rsidP="00A15807">
            <w:pPr>
              <w:pStyle w:val="Text2"/>
              <w:spacing w:before="60" w:after="60"/>
              <w:ind w:left="0"/>
              <w:jc w:val="center"/>
              <w:rPr>
                <w:highlight w:val="yellow"/>
              </w:rPr>
            </w:pPr>
            <w:r w:rsidRPr="004A4C6A">
              <w:t>12</w:t>
            </w:r>
            <w:r w:rsidR="00FB4C2A" w:rsidRPr="004A4C6A">
              <w:t xml:space="preserve"> 000 000</w:t>
            </w:r>
          </w:p>
        </w:tc>
        <w:tc>
          <w:tcPr>
            <w:tcW w:w="2742" w:type="dxa"/>
          </w:tcPr>
          <w:p w14:paraId="06675E54" w14:textId="0F69BB00" w:rsidR="00AB4F03" w:rsidRPr="003C0CD7" w:rsidRDefault="00F33DDB" w:rsidP="00A15807">
            <w:pPr>
              <w:pStyle w:val="Text2"/>
              <w:spacing w:before="60" w:after="60"/>
              <w:ind w:left="0"/>
              <w:jc w:val="center"/>
              <w:rPr>
                <w:highlight w:val="yellow"/>
              </w:rPr>
            </w:pPr>
            <w:r w:rsidRPr="004A4C6A">
              <w:t>16</w:t>
            </w:r>
            <w:r w:rsidR="00AB4EAD" w:rsidRPr="004A4C6A">
              <w:t xml:space="preserve"> 000 000</w:t>
            </w:r>
          </w:p>
        </w:tc>
      </w:tr>
      <w:tr w:rsidR="00C15D97" w:rsidRPr="008704EA" w14:paraId="49EE1548" w14:textId="119BE90C" w:rsidTr="001801B7">
        <w:tc>
          <w:tcPr>
            <w:tcW w:w="5006" w:type="dxa"/>
            <w:shd w:val="clear" w:color="auto" w:fill="auto"/>
          </w:tcPr>
          <w:p w14:paraId="0072AAB5" w14:textId="77777777" w:rsidR="00A15807" w:rsidRPr="003C0CD7" w:rsidRDefault="00A15807" w:rsidP="00A15807">
            <w:pPr>
              <w:pStyle w:val="Text2"/>
              <w:spacing w:before="60" w:after="60"/>
              <w:ind w:left="0"/>
            </w:pPr>
            <w:r w:rsidRPr="003C0CD7">
              <w:rPr>
                <w:b/>
              </w:rPr>
              <w:t xml:space="preserve">Evaluation </w:t>
            </w:r>
            <w:r w:rsidRPr="003C0CD7">
              <w:t>– cf. section 5.2</w:t>
            </w:r>
          </w:p>
          <w:p w14:paraId="4A0B8D96" w14:textId="77777777" w:rsidR="00A15807" w:rsidRPr="003C0CD7" w:rsidRDefault="00A15807" w:rsidP="00A15807">
            <w:pPr>
              <w:pStyle w:val="Text2"/>
              <w:spacing w:before="60" w:after="60"/>
              <w:ind w:left="0"/>
              <w:rPr>
                <w:b/>
              </w:rPr>
            </w:pPr>
            <w:r w:rsidRPr="003C0CD7">
              <w:rPr>
                <w:b/>
              </w:rPr>
              <w:t xml:space="preserve">Audit </w:t>
            </w:r>
            <w:r w:rsidRPr="003C0CD7">
              <w:t>– cf. section 5.3</w:t>
            </w:r>
          </w:p>
        </w:tc>
        <w:tc>
          <w:tcPr>
            <w:tcW w:w="2742" w:type="dxa"/>
            <w:shd w:val="clear" w:color="auto" w:fill="auto"/>
          </w:tcPr>
          <w:p w14:paraId="3843974C" w14:textId="33E1CDFF" w:rsidR="00A15807" w:rsidRPr="003C0CD7" w:rsidRDefault="001801B7" w:rsidP="00A15807">
            <w:pPr>
              <w:pStyle w:val="Text2"/>
              <w:spacing w:before="60" w:after="60"/>
              <w:ind w:left="0"/>
              <w:jc w:val="center"/>
            </w:pPr>
            <w:r w:rsidRPr="004A4C6A">
              <w:t>Covered by another Decision</w:t>
            </w:r>
          </w:p>
        </w:tc>
        <w:tc>
          <w:tcPr>
            <w:tcW w:w="2742" w:type="dxa"/>
          </w:tcPr>
          <w:p w14:paraId="52E72A8B" w14:textId="06190DFB" w:rsidR="00AB4F03" w:rsidRPr="004A4C6A" w:rsidRDefault="001801B7" w:rsidP="00A15807">
            <w:pPr>
              <w:pStyle w:val="Text2"/>
              <w:spacing w:before="60" w:after="60"/>
              <w:ind w:left="0"/>
              <w:jc w:val="center"/>
            </w:pPr>
            <w:r w:rsidRPr="004A4C6A">
              <w:t>Covered by another Decision</w:t>
            </w:r>
          </w:p>
        </w:tc>
      </w:tr>
      <w:tr w:rsidR="003B09C3" w:rsidRPr="008704EA" w14:paraId="2DFD473C" w14:textId="77777777" w:rsidTr="001801B7">
        <w:tc>
          <w:tcPr>
            <w:tcW w:w="5006" w:type="dxa"/>
            <w:shd w:val="clear" w:color="auto" w:fill="auto"/>
          </w:tcPr>
          <w:p w14:paraId="07756FA7" w14:textId="603D2010" w:rsidR="003B09C3" w:rsidRDefault="003B09C3" w:rsidP="00A15807">
            <w:pPr>
              <w:pStyle w:val="Text2"/>
              <w:spacing w:before="60" w:after="60"/>
              <w:ind w:left="0"/>
              <w:rPr>
                <w:b/>
              </w:rPr>
            </w:pPr>
            <w:r w:rsidRPr="003B09C3">
              <w:rPr>
                <w:b/>
              </w:rPr>
              <w:t>Strategic Communication and Public Diplomacy – cf. section 6</w:t>
            </w:r>
          </w:p>
        </w:tc>
        <w:tc>
          <w:tcPr>
            <w:tcW w:w="2742" w:type="dxa"/>
            <w:shd w:val="clear" w:color="auto" w:fill="auto"/>
          </w:tcPr>
          <w:p w14:paraId="3F4902A7" w14:textId="6813CF50" w:rsidR="003B09C3" w:rsidRPr="004A4C6A" w:rsidRDefault="003B09C3" w:rsidP="00A15807">
            <w:pPr>
              <w:pStyle w:val="Text2"/>
              <w:spacing w:before="60" w:after="60"/>
              <w:ind w:left="0"/>
              <w:jc w:val="center"/>
            </w:pPr>
            <w:r>
              <w:t>N/A</w:t>
            </w:r>
          </w:p>
        </w:tc>
        <w:tc>
          <w:tcPr>
            <w:tcW w:w="2742" w:type="dxa"/>
          </w:tcPr>
          <w:p w14:paraId="6EF7A837" w14:textId="7DA45E6B" w:rsidR="003B09C3" w:rsidRPr="004A4C6A" w:rsidRDefault="003B09C3" w:rsidP="00A15807">
            <w:pPr>
              <w:pStyle w:val="Text2"/>
              <w:spacing w:before="60" w:after="60"/>
              <w:ind w:left="0"/>
              <w:jc w:val="center"/>
            </w:pPr>
            <w:r>
              <w:t>N/A</w:t>
            </w:r>
          </w:p>
        </w:tc>
      </w:tr>
      <w:tr w:rsidR="00C15D97" w:rsidRPr="008704EA" w14:paraId="7D5C83C5" w14:textId="6E41893A" w:rsidTr="001801B7">
        <w:tc>
          <w:tcPr>
            <w:tcW w:w="5006" w:type="dxa"/>
            <w:shd w:val="clear" w:color="auto" w:fill="auto"/>
          </w:tcPr>
          <w:p w14:paraId="42659141" w14:textId="5ADAB62B" w:rsidR="00A15807" w:rsidRPr="003C0CD7" w:rsidRDefault="0052223E" w:rsidP="00A15807">
            <w:pPr>
              <w:pStyle w:val="Text2"/>
              <w:spacing w:before="60" w:after="60"/>
              <w:ind w:left="0"/>
            </w:pPr>
            <w:r>
              <w:rPr>
                <w:b/>
              </w:rPr>
              <w:t>Sub t</w:t>
            </w:r>
            <w:r w:rsidR="00A15807" w:rsidRPr="003C0CD7">
              <w:rPr>
                <w:b/>
              </w:rPr>
              <w:t xml:space="preserve">otals </w:t>
            </w:r>
          </w:p>
        </w:tc>
        <w:tc>
          <w:tcPr>
            <w:tcW w:w="2742" w:type="dxa"/>
            <w:shd w:val="clear" w:color="auto" w:fill="auto"/>
          </w:tcPr>
          <w:p w14:paraId="4D82383D" w14:textId="6EFF77A8" w:rsidR="00A15807" w:rsidRPr="003C0CD7" w:rsidRDefault="003F0FDC" w:rsidP="00A15807">
            <w:pPr>
              <w:pStyle w:val="Text2"/>
              <w:spacing w:before="60" w:after="60"/>
              <w:ind w:left="0"/>
              <w:jc w:val="center"/>
            </w:pPr>
            <w:r w:rsidRPr="004A4C6A">
              <w:t xml:space="preserve">28 </w:t>
            </w:r>
            <w:r w:rsidR="007D270F">
              <w:t>5</w:t>
            </w:r>
            <w:r w:rsidRPr="004A4C6A">
              <w:t>00 000</w:t>
            </w:r>
          </w:p>
        </w:tc>
        <w:tc>
          <w:tcPr>
            <w:tcW w:w="2742" w:type="dxa"/>
          </w:tcPr>
          <w:p w14:paraId="7540587C" w14:textId="6E719BE6" w:rsidR="00AB4F03" w:rsidRPr="003C0CD7" w:rsidRDefault="00C24DB9" w:rsidP="00A15807">
            <w:pPr>
              <w:pStyle w:val="Text2"/>
              <w:spacing w:before="60" w:after="60"/>
              <w:ind w:left="0"/>
              <w:jc w:val="center"/>
              <w:rPr>
                <w:highlight w:val="yellow"/>
              </w:rPr>
            </w:pPr>
            <w:r w:rsidRPr="004A4C6A">
              <w:t>16 000 000</w:t>
            </w:r>
          </w:p>
        </w:tc>
      </w:tr>
      <w:tr w:rsidR="0052223E" w:rsidRPr="008704EA" w14:paraId="1FD9C232" w14:textId="77777777" w:rsidTr="006703F0">
        <w:tc>
          <w:tcPr>
            <w:tcW w:w="5006" w:type="dxa"/>
            <w:shd w:val="clear" w:color="auto" w:fill="auto"/>
          </w:tcPr>
          <w:p w14:paraId="14CD1BAA" w14:textId="2EE58548" w:rsidR="0052223E" w:rsidRPr="003C0CD7" w:rsidRDefault="0052223E" w:rsidP="00A15807">
            <w:pPr>
              <w:pStyle w:val="Text2"/>
              <w:spacing w:before="60" w:after="60"/>
              <w:ind w:left="0"/>
              <w:rPr>
                <w:b/>
              </w:rPr>
            </w:pPr>
            <w:r>
              <w:rPr>
                <w:b/>
              </w:rPr>
              <w:t>Total</w:t>
            </w:r>
          </w:p>
        </w:tc>
        <w:tc>
          <w:tcPr>
            <w:tcW w:w="5484" w:type="dxa"/>
            <w:gridSpan w:val="2"/>
            <w:shd w:val="clear" w:color="auto" w:fill="auto"/>
          </w:tcPr>
          <w:p w14:paraId="0BA3A410" w14:textId="7FCAFF62" w:rsidR="0052223E" w:rsidRPr="002E04C9" w:rsidRDefault="0052223E" w:rsidP="00A15807">
            <w:pPr>
              <w:pStyle w:val="Text2"/>
              <w:spacing w:before="60" w:after="60"/>
              <w:ind w:left="0"/>
              <w:jc w:val="center"/>
              <w:rPr>
                <w:b/>
                <w:bCs/>
              </w:rPr>
            </w:pPr>
            <w:r w:rsidRPr="002E04C9">
              <w:rPr>
                <w:b/>
                <w:bCs/>
              </w:rPr>
              <w:t>44 500 000</w:t>
            </w:r>
          </w:p>
        </w:tc>
      </w:tr>
    </w:tbl>
    <w:p w14:paraId="613820D0" w14:textId="77777777" w:rsidR="008E6AFF" w:rsidRPr="003C0CD7" w:rsidRDefault="008E6AFF" w:rsidP="003C0CD7">
      <w:pPr>
        <w:pStyle w:val="Heading1"/>
        <w:numPr>
          <w:ilvl w:val="1"/>
          <w:numId w:val="1"/>
        </w:numPr>
      </w:pPr>
      <w:bookmarkStart w:id="319" w:name="_Toc47101981"/>
      <w:bookmarkStart w:id="320" w:name="_Toc51270476"/>
      <w:bookmarkStart w:id="321" w:name="_Toc59031693"/>
      <w:bookmarkStart w:id="322" w:name="_Toc73090776"/>
      <w:r w:rsidRPr="003C0CD7">
        <w:t>Organisational Set-up and Responsibilities</w:t>
      </w:r>
      <w:bookmarkEnd w:id="319"/>
      <w:bookmarkEnd w:id="320"/>
      <w:bookmarkEnd w:id="321"/>
      <w:bookmarkEnd w:id="322"/>
    </w:p>
    <w:p w14:paraId="4B839F05" w14:textId="0E4D72D1" w:rsidR="002B7F54" w:rsidRPr="003C0CD7" w:rsidRDefault="00542121" w:rsidP="00E360A2">
      <w:pPr>
        <w:pStyle w:val="Text2"/>
        <w:spacing w:before="60" w:after="60"/>
        <w:ind w:left="0"/>
      </w:pPr>
      <w:r>
        <w:t xml:space="preserve">Contractors </w:t>
      </w:r>
      <w:r w:rsidR="00232A30">
        <w:t xml:space="preserve">recruited </w:t>
      </w:r>
      <w:r w:rsidR="009B34A3">
        <w:t>through</w:t>
      </w:r>
      <w:r w:rsidR="007B38DD">
        <w:t xml:space="preserve"> direct </w:t>
      </w:r>
      <w:r w:rsidR="009B34A3">
        <w:t xml:space="preserve">or indirect </w:t>
      </w:r>
      <w:r w:rsidR="007B38DD">
        <w:t xml:space="preserve">management </w:t>
      </w:r>
      <w:r w:rsidR="00444C5F">
        <w:t>are expected</w:t>
      </w:r>
      <w:r w:rsidR="00232A30">
        <w:t xml:space="preserve"> to assign a project team for the coordination and implementation of activities. The project team will be </w:t>
      </w:r>
      <w:r w:rsidR="009B34A3">
        <w:t>responsible for the</w:t>
      </w:r>
      <w:r w:rsidR="00232A30">
        <w:t xml:space="preserve"> daily management of activities, </w:t>
      </w:r>
      <w:r w:rsidR="00853E60">
        <w:t xml:space="preserve">liaison with </w:t>
      </w:r>
      <w:r w:rsidR="005A6EC2">
        <w:t>experts and stakeholders</w:t>
      </w:r>
      <w:r w:rsidR="00414973">
        <w:t>,</w:t>
      </w:r>
      <w:r w:rsidR="003B4B96">
        <w:t xml:space="preserve"> reporting to the Commission for both operational and financial matters. </w:t>
      </w:r>
      <w:r w:rsidR="00F174FD">
        <w:t xml:space="preserve">It is recommended that </w:t>
      </w:r>
      <w:r w:rsidR="003D02E8">
        <w:t xml:space="preserve">a </w:t>
      </w:r>
      <w:r w:rsidR="00F174FD">
        <w:t xml:space="preserve">Steering Committee </w:t>
      </w:r>
      <w:r w:rsidR="00C242B9">
        <w:t>take</w:t>
      </w:r>
      <w:r w:rsidR="00C15D97">
        <w:t>s</w:t>
      </w:r>
      <w:r w:rsidR="00C242B9">
        <w:t xml:space="preserve"> place at least once a year</w:t>
      </w:r>
      <w:r w:rsidR="001D5D63">
        <w:t xml:space="preserve"> </w:t>
      </w:r>
      <w:proofErr w:type="gramStart"/>
      <w:r w:rsidR="001D5D63">
        <w:t>in order to</w:t>
      </w:r>
      <w:proofErr w:type="gramEnd"/>
      <w:r w:rsidR="001D5D63">
        <w:t xml:space="preserve"> review past </w:t>
      </w:r>
      <w:r w:rsidR="00365A2B">
        <w:t>deliverables</w:t>
      </w:r>
      <w:r w:rsidR="001D5D63">
        <w:t xml:space="preserve">, </w:t>
      </w:r>
      <w:r w:rsidR="00476EC9">
        <w:t xml:space="preserve">reflect on </w:t>
      </w:r>
      <w:r w:rsidR="00057F6E">
        <w:t>ac</w:t>
      </w:r>
      <w:r w:rsidR="00365A2B">
        <w:t>hievements</w:t>
      </w:r>
      <w:r w:rsidR="007B78B9">
        <w:t>,</w:t>
      </w:r>
      <w:r w:rsidR="00365A2B">
        <w:t xml:space="preserve"> challenges</w:t>
      </w:r>
      <w:r w:rsidR="00BD4FC3">
        <w:t>,</w:t>
      </w:r>
      <w:r w:rsidR="00365A2B">
        <w:t xml:space="preserve"> mitigati</w:t>
      </w:r>
      <w:r w:rsidR="007B78B9">
        <w:t>ng</w:t>
      </w:r>
      <w:r w:rsidR="00365A2B">
        <w:t xml:space="preserve"> measures</w:t>
      </w:r>
      <w:r w:rsidR="00252BC1">
        <w:t xml:space="preserve">, and how the intervention addressed </w:t>
      </w:r>
      <w:r w:rsidR="00BD4FC3">
        <w:t xml:space="preserve">targeted mainstreaming </w:t>
      </w:r>
      <w:r w:rsidR="00B12397">
        <w:t>areas</w:t>
      </w:r>
      <w:r w:rsidR="007B78B9">
        <w:t>.</w:t>
      </w:r>
      <w:r w:rsidR="00C15D97">
        <w:t xml:space="preserve"> </w:t>
      </w:r>
      <w:r w:rsidR="007918F3">
        <w:t>In addition, t</w:t>
      </w:r>
      <w:r w:rsidR="009C297C">
        <w:t>he Steering Committee will provide updates on financial and human resources matters</w:t>
      </w:r>
      <w:r w:rsidR="007918F3">
        <w:t xml:space="preserve"> and</w:t>
      </w:r>
      <w:r w:rsidR="009C297C">
        <w:t xml:space="preserve"> present an updated work plan for the next implementing period.</w:t>
      </w:r>
      <w:r w:rsidR="008B7962">
        <w:t xml:space="preserve"> </w:t>
      </w:r>
      <w:r w:rsidR="00C15D97">
        <w:t xml:space="preserve">Indicatively, Steering Committee members should be </w:t>
      </w:r>
      <w:r w:rsidR="00B2786B">
        <w:t>representative</w:t>
      </w:r>
      <w:r w:rsidR="008B7962">
        <w:t>s</w:t>
      </w:r>
      <w:r w:rsidR="00B2786B">
        <w:t xml:space="preserve"> of the contractors</w:t>
      </w:r>
      <w:r w:rsidR="00DA6D48">
        <w:t xml:space="preserve"> and</w:t>
      </w:r>
      <w:r w:rsidR="00B2786B">
        <w:t xml:space="preserve"> of beneficiaries</w:t>
      </w:r>
      <w:r w:rsidR="00AD75A4">
        <w:t>.</w:t>
      </w:r>
      <w:r w:rsidR="007B78B9">
        <w:t xml:space="preserve"> </w:t>
      </w:r>
    </w:p>
    <w:p w14:paraId="77081673" w14:textId="7E764827" w:rsidR="00384709" w:rsidRPr="003C0CD7" w:rsidRDefault="00E360A2" w:rsidP="00E360A2">
      <w:r w:rsidRPr="003C0CD7">
        <w:rPr>
          <w:szCs w:val="24"/>
        </w:rPr>
        <w:t>As part of its prerogative of budget implementation and to safeguard the financial interests of the Union, the Commission</w:t>
      </w:r>
      <w:r w:rsidR="00983530">
        <w:rPr>
          <w:szCs w:val="24"/>
        </w:rPr>
        <w:t xml:space="preserve"> (i.e. DG NEAR and other line DGs as required)</w:t>
      </w:r>
      <w:r w:rsidRPr="003C0CD7">
        <w:rPr>
          <w:szCs w:val="24"/>
        </w:rPr>
        <w:t xml:space="preserve"> may participate in the above governance structures set up for governing the implementation of the action.</w:t>
      </w:r>
    </w:p>
    <w:p w14:paraId="43117A76" w14:textId="77777777" w:rsidR="000827CD" w:rsidRPr="0006347F" w:rsidRDefault="001706D6" w:rsidP="0006347F">
      <w:pPr>
        <w:pStyle w:val="Heading1"/>
      </w:pPr>
      <w:bookmarkStart w:id="323" w:name="_Toc73090777"/>
      <w:r w:rsidRPr="0006347F">
        <w:t>PERFORMANCE</w:t>
      </w:r>
      <w:bookmarkEnd w:id="216"/>
      <w:bookmarkEnd w:id="217"/>
      <w:bookmarkEnd w:id="218"/>
      <w:r w:rsidR="00D07ECD" w:rsidRPr="0006347F">
        <w:t xml:space="preserve"> MEASUREMENT</w:t>
      </w:r>
      <w:bookmarkEnd w:id="323"/>
      <w:r w:rsidR="00D23527" w:rsidRPr="0006347F">
        <w:t xml:space="preserve"> </w:t>
      </w:r>
      <w:bookmarkStart w:id="324" w:name="_Toc59023393"/>
      <w:bookmarkStart w:id="325" w:name="_Toc59029562"/>
      <w:bookmarkStart w:id="326" w:name="_Toc59030378"/>
      <w:bookmarkStart w:id="327" w:name="_Toc59031695"/>
      <w:bookmarkStart w:id="328" w:name="_Toc62247194"/>
      <w:bookmarkStart w:id="329" w:name="_Toc62247251"/>
      <w:bookmarkStart w:id="330" w:name="_Toc62459293"/>
      <w:bookmarkStart w:id="331" w:name="_Toc62476957"/>
      <w:bookmarkStart w:id="332" w:name="_Toc63235865"/>
      <w:bookmarkStart w:id="333" w:name="_Toc63248971"/>
      <w:bookmarkStart w:id="334" w:name="_Toc63263300"/>
      <w:bookmarkStart w:id="335" w:name="_Toc64043077"/>
      <w:bookmarkStart w:id="336" w:name="_Toc65663790"/>
      <w:bookmarkStart w:id="337" w:name="_Toc65665606"/>
      <w:bookmarkStart w:id="338" w:name="_Toc65665968"/>
      <w:bookmarkStart w:id="339" w:name="_Toc65666145"/>
      <w:bookmarkStart w:id="340" w:name="_Toc65671222"/>
      <w:bookmarkStart w:id="341" w:name="_Toc65671281"/>
      <w:bookmarkStart w:id="342" w:name="_Toc65671938"/>
      <w:bookmarkStart w:id="343" w:name="_Toc65674794"/>
      <w:bookmarkStart w:id="344" w:name="_Toc65676444"/>
      <w:bookmarkStart w:id="345" w:name="_Toc65688281"/>
      <w:bookmarkStart w:id="346" w:name="_Toc66465171"/>
      <w:bookmarkStart w:id="347" w:name="_Toc66465624"/>
      <w:bookmarkStart w:id="348" w:name="_Toc66465683"/>
      <w:bookmarkStart w:id="349" w:name="_Toc66696409"/>
      <w:bookmarkStart w:id="350" w:name="_Toc67665957"/>
      <w:bookmarkStart w:id="351" w:name="_Toc69384786"/>
      <w:bookmarkStart w:id="352" w:name="_Toc69384917"/>
      <w:bookmarkStart w:id="353" w:name="_Toc69385045"/>
      <w:bookmarkStart w:id="354" w:name="_Toc69385173"/>
      <w:bookmarkStart w:id="355" w:name="_Toc69460921"/>
      <w:bookmarkStart w:id="356" w:name="_Toc69461048"/>
      <w:bookmarkStart w:id="357" w:name="_Toc69469940"/>
      <w:bookmarkStart w:id="358" w:name="_Toc69485803"/>
      <w:bookmarkStart w:id="359" w:name="_Toc69487678"/>
      <w:bookmarkStart w:id="360" w:name="_Toc72142271"/>
      <w:bookmarkStart w:id="361" w:name="_Toc72142356"/>
      <w:bookmarkStart w:id="362" w:name="_Toc73090695"/>
      <w:bookmarkStart w:id="363" w:name="_Toc73090778"/>
      <w:bookmarkStart w:id="364" w:name="_Toc47101983"/>
      <w:bookmarkStart w:id="365" w:name="_Toc51270478"/>
      <w:bookmarkStart w:id="366" w:name="_Ref58359135"/>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1093D371" w14:textId="77777777" w:rsidR="00811AA9" w:rsidRPr="003C0CD7" w:rsidRDefault="00811AA9" w:rsidP="003C0CD7">
      <w:pPr>
        <w:pStyle w:val="Heading1"/>
        <w:numPr>
          <w:ilvl w:val="1"/>
          <w:numId w:val="1"/>
        </w:numPr>
      </w:pPr>
      <w:bookmarkStart w:id="367" w:name="_Toc73090779"/>
      <w:r w:rsidRPr="003C0CD7">
        <w:t>Monitoring</w:t>
      </w:r>
      <w:bookmarkEnd w:id="364"/>
      <w:bookmarkEnd w:id="365"/>
      <w:bookmarkEnd w:id="366"/>
      <w:r w:rsidRPr="003C0CD7">
        <w:t xml:space="preserve"> and Reporting</w:t>
      </w:r>
      <w:bookmarkEnd w:id="367"/>
    </w:p>
    <w:p w14:paraId="19FD03D7" w14:textId="4351B583" w:rsidR="003F0B77" w:rsidRPr="00AD7FAD" w:rsidRDefault="003F0B77" w:rsidP="003775F2">
      <w:pPr>
        <w:pStyle w:val="Text2"/>
        <w:spacing w:before="60" w:after="60"/>
        <w:ind w:left="0"/>
      </w:pPr>
      <w:bookmarkStart w:id="368" w:name="_Toc391992328"/>
      <w:bookmarkStart w:id="369" w:name="_Toc391999078"/>
      <w:r w:rsidRPr="00C85643">
        <w:t xml:space="preserve">The day-to-day technical and financial monitoring of the implementation of this action will be a continuous process, and part of the implementing partner’s responsibilities. To this aim, the implementing partner shall establish a permanent internal, </w:t>
      </w:r>
      <w:proofErr w:type="gramStart"/>
      <w:r w:rsidRPr="00C85643">
        <w:t>technical</w:t>
      </w:r>
      <w:proofErr w:type="gramEnd"/>
      <w:r w:rsidRPr="00C85643">
        <w:t xml:space="preserve"> and financial monitoring system for the action and elaborate regular progress reports (not less than annual) and final reports. </w:t>
      </w:r>
      <w:bookmarkEnd w:id="368"/>
      <w:bookmarkEnd w:id="369"/>
      <w:r w:rsidRPr="00C85643">
        <w:t xml:space="preserve">Every report shall provide an accurate account of implementation of the action, difficulties encountered, changes introduced, as well as the degree of achievement of its Outputs and </w:t>
      </w:r>
      <w:r>
        <w:t>contribution to the achievement of</w:t>
      </w:r>
      <w:r w:rsidRPr="005D6559">
        <w:t xml:space="preserve"> </w:t>
      </w:r>
      <w:r>
        <w:t>its</w:t>
      </w:r>
      <w:r w:rsidRPr="00C85643">
        <w:t xml:space="preserve"> Outcomes</w:t>
      </w:r>
      <w:r>
        <w:t xml:space="preserve">, and if </w:t>
      </w:r>
      <w:r w:rsidR="006E65CA">
        <w:t>possible,</w:t>
      </w:r>
      <w:r>
        <w:t xml:space="preserve"> at the time of reporting, </w:t>
      </w:r>
      <w:r w:rsidRPr="00AD7FAD">
        <w:t xml:space="preserve">contribution to the achievement of its Impacts, as measured by corresponding indicators, using as reference the </w:t>
      </w:r>
      <w:proofErr w:type="spellStart"/>
      <w:r w:rsidRPr="00AD7FAD">
        <w:t>logframe</w:t>
      </w:r>
      <w:proofErr w:type="spellEnd"/>
      <w:r w:rsidRPr="00AD7FAD">
        <w:t xml:space="preserve"> matrix. </w:t>
      </w:r>
    </w:p>
    <w:p w14:paraId="1A8905BB" w14:textId="77777777" w:rsidR="00335DC3" w:rsidRPr="003C0CD7" w:rsidRDefault="00335DC3" w:rsidP="00DB5858">
      <w:bookmarkStart w:id="370" w:name="_Toc391992329"/>
      <w:bookmarkStart w:id="371" w:name="_Toc391999079"/>
      <w:r w:rsidRPr="00AD7FAD">
        <w:rPr>
          <w:rFonts w:cs="Times New Roman"/>
        </w:rPr>
        <w:lastRenderedPageBreak/>
        <w:t>The Commission may undertake</w:t>
      </w:r>
      <w:r w:rsidRPr="003C0CD7">
        <w:rPr>
          <w:rFonts w:cs="Times New Roman"/>
        </w:rPr>
        <w:t xml:space="preserve"> additional project monitoring visits both through its own staff and through independent consultants recruited directly by the Commission for independent monitoring reviews (or recruited by the responsible agent contracted by the Commission for implementing such reviews).</w:t>
      </w:r>
      <w:bookmarkEnd w:id="370"/>
      <w:bookmarkEnd w:id="371"/>
      <w:r w:rsidRPr="003C0CD7">
        <w:rPr>
          <w:rFonts w:cs="Times New Roman"/>
        </w:rPr>
        <w:t xml:space="preserve"> </w:t>
      </w:r>
    </w:p>
    <w:p w14:paraId="15AD9A5F" w14:textId="137EDA94" w:rsidR="00335DC3" w:rsidRDefault="00032C27" w:rsidP="00C10A17">
      <w:r>
        <w:rPr>
          <w:rFonts w:cs="Times New Roman"/>
        </w:rPr>
        <w:br/>
      </w:r>
      <w:r w:rsidR="000113D1">
        <w:rPr>
          <w:rFonts w:cs="Times New Roman"/>
          <w:szCs w:val="24"/>
        </w:rPr>
        <w:t>Arrangements for monitoring and reporting, including r</w:t>
      </w:r>
      <w:r w:rsidR="00335DC3" w:rsidRPr="003C0CD7">
        <w:rPr>
          <w:rFonts w:cs="Times New Roman"/>
        </w:rPr>
        <w:t>oles and responsibilities for data collection, analysis and monitoring</w:t>
      </w:r>
      <w:r w:rsidR="006D4E2E">
        <w:rPr>
          <w:rFonts w:cs="Times New Roman"/>
        </w:rPr>
        <w:t xml:space="preserve"> </w:t>
      </w:r>
      <w:r w:rsidR="006D4E2E">
        <w:t>will be specified in each of the contracts relating to the Outcomes.</w:t>
      </w:r>
      <w:r w:rsidR="006D4E2E" w:rsidRPr="00186743">
        <w:t xml:space="preserve"> </w:t>
      </w:r>
      <w:r w:rsidR="006D4E2E">
        <w:t>I</w:t>
      </w:r>
      <w:r w:rsidR="006D4E2E" w:rsidRPr="00186743">
        <w:t xml:space="preserve">mplementing partners should report to the </w:t>
      </w:r>
      <w:r w:rsidR="006D4E2E">
        <w:t xml:space="preserve">designated </w:t>
      </w:r>
      <w:r w:rsidR="006D4E2E" w:rsidRPr="00186743">
        <w:t>task manager at DG NEAR</w:t>
      </w:r>
      <w:r w:rsidR="006D4E2E">
        <w:t>, Unit D1</w:t>
      </w:r>
      <w:r w:rsidR="005371D1">
        <w:t xml:space="preserve"> and the financial </w:t>
      </w:r>
      <w:r w:rsidR="00227D80">
        <w:t>initiating agent at DG NEAR, Unit R5.</w:t>
      </w:r>
    </w:p>
    <w:p w14:paraId="0325BF05" w14:textId="77777777" w:rsidR="00E360A2" w:rsidRPr="003C0CD7" w:rsidRDefault="00E360A2" w:rsidP="00E360A2">
      <w:pPr>
        <w:rPr>
          <w:rFonts w:cs="Times New Roman"/>
          <w:highlight w:val="yellow"/>
        </w:rPr>
      </w:pPr>
    </w:p>
    <w:p w14:paraId="5A1DDF48" w14:textId="6B85CDE7" w:rsidR="00E360A2" w:rsidRPr="003C0CD7" w:rsidRDefault="00E360A2" w:rsidP="00E360A2">
      <w:r w:rsidRPr="003C0CD7">
        <w:rPr>
          <w:rFonts w:cs="Times New Roman"/>
        </w:rPr>
        <w:t xml:space="preserve">The statistical and monitoring systems as well as the quality of official data in the policy field covered have been assessed. This assessment has fed into the design of the action as follows: </w:t>
      </w:r>
      <w:r w:rsidR="00A23999">
        <w:rPr>
          <w:rFonts w:cs="Times New Roman"/>
        </w:rPr>
        <w:t xml:space="preserve">regional trade statistics reflected in the CEFTA statistical portal </w:t>
      </w:r>
      <w:r w:rsidR="00A677CC">
        <w:rPr>
          <w:rFonts w:cs="Times New Roman"/>
        </w:rPr>
        <w:t>(</w:t>
      </w:r>
      <w:hyperlink r:id="rId20" w:history="1">
        <w:r w:rsidR="00A677CC" w:rsidRPr="00737F8B">
          <w:rPr>
            <w:rStyle w:val="Hyperlink"/>
            <w:rFonts w:cs="Times New Roman"/>
          </w:rPr>
          <w:t>https://transparency.cefta.int/TradeStatistics</w:t>
        </w:r>
      </w:hyperlink>
      <w:r w:rsidR="00A677CC">
        <w:rPr>
          <w:rFonts w:cs="Times New Roman"/>
        </w:rPr>
        <w:t xml:space="preserve">) </w:t>
      </w:r>
      <w:r w:rsidR="00A23999">
        <w:rPr>
          <w:rFonts w:cs="Times New Roman"/>
        </w:rPr>
        <w:t xml:space="preserve">reflect official data extracted from </w:t>
      </w:r>
      <w:r w:rsidR="00DD25DD">
        <w:rPr>
          <w:rFonts w:cs="Times New Roman"/>
        </w:rPr>
        <w:t xml:space="preserve">national statistics offices in Western Balkans and </w:t>
      </w:r>
      <w:r w:rsidR="00105D17">
        <w:rPr>
          <w:rFonts w:cs="Times New Roman"/>
        </w:rPr>
        <w:t xml:space="preserve">Moldova. Additional statistical sources not available in this database can be sourced from </w:t>
      </w:r>
      <w:r w:rsidR="000D1CC5">
        <w:rPr>
          <w:rFonts w:cs="Times New Roman"/>
        </w:rPr>
        <w:t>E</w:t>
      </w:r>
      <w:r w:rsidR="008D3F98">
        <w:rPr>
          <w:rFonts w:cs="Times New Roman"/>
        </w:rPr>
        <w:t>urostat</w:t>
      </w:r>
      <w:r w:rsidR="000D1CC5">
        <w:rPr>
          <w:rFonts w:cs="Times New Roman"/>
        </w:rPr>
        <w:t xml:space="preserve"> or </w:t>
      </w:r>
      <w:r w:rsidR="00105D17">
        <w:rPr>
          <w:rFonts w:cs="Times New Roman"/>
        </w:rPr>
        <w:t xml:space="preserve">trusted external sources such as the OECD, World </w:t>
      </w:r>
      <w:proofErr w:type="gramStart"/>
      <w:r w:rsidR="00105D17">
        <w:rPr>
          <w:rFonts w:cs="Times New Roman"/>
        </w:rPr>
        <w:t>Bank</w:t>
      </w:r>
      <w:proofErr w:type="gramEnd"/>
      <w:r w:rsidR="00105D17">
        <w:rPr>
          <w:rFonts w:cs="Times New Roman"/>
        </w:rPr>
        <w:t xml:space="preserve"> or International Monetary Fund.</w:t>
      </w:r>
      <w:r w:rsidR="00A23999">
        <w:rPr>
          <w:rFonts w:cs="Times New Roman"/>
        </w:rPr>
        <w:t xml:space="preserve"> </w:t>
      </w:r>
    </w:p>
    <w:p w14:paraId="062115C5" w14:textId="44B7AE4B" w:rsidR="006B6017" w:rsidRPr="003C0CD7" w:rsidRDefault="00FD7FCD" w:rsidP="006B6017">
      <w:pPr>
        <w:pStyle w:val="Heading1"/>
        <w:numPr>
          <w:ilvl w:val="1"/>
          <w:numId w:val="1"/>
        </w:numPr>
      </w:pPr>
      <w:bookmarkStart w:id="372" w:name="_Toc47101985"/>
      <w:bookmarkStart w:id="373" w:name="_Toc51270480"/>
      <w:bookmarkStart w:id="374" w:name="_Ref58841072"/>
      <w:bookmarkStart w:id="375" w:name="_Toc73090780"/>
      <w:r w:rsidRPr="003C0CD7">
        <w:t>Evaluation</w:t>
      </w:r>
      <w:bookmarkEnd w:id="372"/>
      <w:bookmarkEnd w:id="373"/>
      <w:bookmarkEnd w:id="374"/>
      <w:bookmarkEnd w:id="375"/>
    </w:p>
    <w:p w14:paraId="3E4CD34D" w14:textId="506931E2" w:rsidR="00D54B6E" w:rsidRPr="00D32D3B" w:rsidRDefault="00D54B6E" w:rsidP="00D321DC">
      <w:r w:rsidRPr="00D32D3B">
        <w:t>Having regard to the nature of the action, a</w:t>
      </w:r>
      <w:r w:rsidR="00275178" w:rsidRPr="00D32D3B">
        <w:t xml:space="preserve"> final</w:t>
      </w:r>
      <w:r w:rsidRPr="00D32D3B">
        <w:t xml:space="preserve"> evaluation</w:t>
      </w:r>
      <w:r w:rsidR="004A760A" w:rsidRPr="00D32D3B">
        <w:t xml:space="preserve"> may</w:t>
      </w:r>
      <w:r w:rsidRPr="00D32D3B">
        <w:t xml:space="preserve"> be carried out for this </w:t>
      </w:r>
      <w:proofErr w:type="gramStart"/>
      <w:r w:rsidRPr="00D32D3B">
        <w:t>action</w:t>
      </w:r>
      <w:proofErr w:type="gramEnd"/>
      <w:r w:rsidRPr="00D32D3B">
        <w:t xml:space="preserve"> or </w:t>
      </w:r>
      <w:r w:rsidRPr="00D32D3B">
        <w:rPr>
          <w:snapToGrid w:val="0"/>
          <w:szCs w:val="24"/>
        </w:rPr>
        <w:t>its components</w:t>
      </w:r>
      <w:r w:rsidR="002116F2" w:rsidRPr="00D32D3B">
        <w:t xml:space="preserve"> </w:t>
      </w:r>
      <w:r w:rsidRPr="00D32D3B">
        <w:t xml:space="preserve">contracted by the Commission. </w:t>
      </w:r>
    </w:p>
    <w:p w14:paraId="2452F54F" w14:textId="77777777" w:rsidR="00D54B6E" w:rsidRPr="00D32D3B" w:rsidRDefault="00D54B6E" w:rsidP="00D321DC">
      <w:pPr>
        <w:rPr>
          <w:szCs w:val="24"/>
        </w:rPr>
      </w:pPr>
    </w:p>
    <w:p w14:paraId="63210778" w14:textId="6733C68A" w:rsidR="00D54B6E" w:rsidRPr="00C85643" w:rsidRDefault="00D54B6E" w:rsidP="00D321DC">
      <w:r w:rsidRPr="00D32D3B">
        <w:t xml:space="preserve">It will be carried out for accountability and learning purposes at various levels (including for policy revision), </w:t>
      </w:r>
      <w:proofErr w:type="gramStart"/>
      <w:r w:rsidRPr="00D32D3B">
        <w:t>taking into account</w:t>
      </w:r>
      <w:proofErr w:type="gramEnd"/>
      <w:r w:rsidRPr="00D32D3B">
        <w:t xml:space="preserve"> in particular the fact that</w:t>
      </w:r>
      <w:r w:rsidR="00F5699C" w:rsidRPr="00D32D3B">
        <w:rPr>
          <w:szCs w:val="24"/>
        </w:rPr>
        <w:t xml:space="preserve"> </w:t>
      </w:r>
      <w:r w:rsidR="00F5699C" w:rsidRPr="00D32D3B">
        <w:t xml:space="preserve">the EU </w:t>
      </w:r>
      <w:r w:rsidR="00502BCB" w:rsidRPr="00D32D3B">
        <w:t xml:space="preserve">policies in </w:t>
      </w:r>
      <w:r w:rsidR="00F5699C" w:rsidRPr="00D32D3B">
        <w:t xml:space="preserve">support to regional integration in Western Balkans needs to adapt to </w:t>
      </w:r>
      <w:r w:rsidR="00D32D3B" w:rsidRPr="00D32D3B">
        <w:t xml:space="preserve">evolving needs in light </w:t>
      </w:r>
      <w:r w:rsidR="00F5699C" w:rsidRPr="00D32D3B">
        <w:t>of</w:t>
      </w:r>
      <w:r w:rsidR="00D32D3B" w:rsidRPr="00D32D3B">
        <w:t xml:space="preserve"> global challenges and with the perspective of</w:t>
      </w:r>
      <w:r w:rsidR="00F5699C" w:rsidRPr="00D32D3B">
        <w:t xml:space="preserve"> EU accession</w:t>
      </w:r>
      <w:r w:rsidR="00D32D3B" w:rsidRPr="00D32D3B">
        <w:t xml:space="preserve"> for countries in the region</w:t>
      </w:r>
      <w:r w:rsidR="00F5699C" w:rsidRPr="00D32D3B">
        <w:t>.</w:t>
      </w:r>
    </w:p>
    <w:p w14:paraId="79943100" w14:textId="77777777" w:rsidR="00D54B6E" w:rsidRDefault="00D54B6E" w:rsidP="00D321DC">
      <w:pPr>
        <w:spacing w:line="280" w:lineRule="atLeast"/>
        <w:rPr>
          <w:snapToGrid w:val="0"/>
          <w:szCs w:val="24"/>
          <w:highlight w:val="yellow"/>
        </w:rPr>
      </w:pPr>
    </w:p>
    <w:p w14:paraId="4528B394" w14:textId="6D6BFE3E" w:rsidR="00D54B6E" w:rsidRPr="005D6559" w:rsidRDefault="00D54B6E" w:rsidP="00D321DC">
      <w:pPr>
        <w:spacing w:line="280" w:lineRule="atLeast"/>
        <w:rPr>
          <w:snapToGrid w:val="0"/>
          <w:szCs w:val="24"/>
          <w:highlight w:val="lightGray"/>
        </w:rPr>
      </w:pPr>
      <w:r w:rsidRPr="00046EBD">
        <w:rPr>
          <w:szCs w:val="24"/>
        </w:rPr>
        <w:t>The Commission shall form a Reference Group (RG) composed by representatives from the main stakeholders at both EU and national (representatives from the government, from civil society organisations</w:t>
      </w:r>
      <w:r w:rsidR="001B03D8">
        <w:rPr>
          <w:szCs w:val="24"/>
        </w:rPr>
        <w:t xml:space="preserve">, </w:t>
      </w:r>
      <w:r w:rsidRPr="00046EBD">
        <w:rPr>
          <w:szCs w:val="24"/>
        </w:rPr>
        <w:t>private sector, NGOs, etc.) levels</w:t>
      </w:r>
      <w:r w:rsidRPr="00056824">
        <w:rPr>
          <w:szCs w:val="24"/>
        </w:rPr>
        <w:t>. If deemed necessary, other donors will be invited to join.</w:t>
      </w:r>
      <w:r w:rsidR="00A35898" w:rsidRPr="00056824">
        <w:rPr>
          <w:szCs w:val="24"/>
        </w:rPr>
        <w:t xml:space="preserve"> </w:t>
      </w:r>
      <w:r w:rsidRPr="00056824">
        <w:t xml:space="preserve">The Commission shall inform the implementing partner at least </w:t>
      </w:r>
      <w:r w:rsidR="00A35898" w:rsidRPr="00056824">
        <w:t>two months</w:t>
      </w:r>
      <w:r w:rsidRPr="00056824">
        <w:t xml:space="preserve"> in advance of the dates envisaged for the evaluation </w:t>
      </w:r>
      <w:r w:rsidRPr="00056824">
        <w:rPr>
          <w:snapToGrid w:val="0"/>
          <w:szCs w:val="24"/>
        </w:rPr>
        <w:t xml:space="preserve">exercise and </w:t>
      </w:r>
      <w:r w:rsidRPr="00056824">
        <w:t>missions. The implementing partner shall collaborate efficiently and effectively with the evaluation experts, and inter alia provide them with all necessary information and documentation, as well as access to the project premises and activities.</w:t>
      </w:r>
      <w:r w:rsidRPr="00056824">
        <w:rPr>
          <w:snapToGrid w:val="0"/>
          <w:szCs w:val="24"/>
        </w:rPr>
        <w:t xml:space="preserve"> </w:t>
      </w:r>
    </w:p>
    <w:p w14:paraId="457E01DE" w14:textId="77777777" w:rsidR="00D54B6E" w:rsidRDefault="00D54B6E" w:rsidP="00D321DC">
      <w:pPr>
        <w:spacing w:line="280" w:lineRule="atLeast"/>
        <w:rPr>
          <w:snapToGrid w:val="0"/>
          <w:szCs w:val="24"/>
        </w:rPr>
      </w:pPr>
    </w:p>
    <w:p w14:paraId="0E1A77F8" w14:textId="033A2B0B" w:rsidR="00D54B6E" w:rsidRPr="00C85643" w:rsidRDefault="00D54B6E" w:rsidP="00D321DC">
      <w:pPr>
        <w:spacing w:line="280" w:lineRule="atLeast"/>
      </w:pPr>
      <w:r w:rsidRPr="00C85643">
        <w:t xml:space="preserve">The evaluation reports shall be shared with the </w:t>
      </w:r>
      <w:r w:rsidR="009B7F2D">
        <w:t>IPA beneficiary/</w:t>
      </w:r>
      <w:proofErr w:type="spellStart"/>
      <w:r w:rsidR="009B7F2D">
        <w:t>ies</w:t>
      </w:r>
      <w:proofErr w:type="spellEnd"/>
      <w:r w:rsidRPr="00C85643">
        <w:t xml:space="preserve"> and other key stakeholders following the best practice of evaluation dissemination. The implementing partner and the Commission shall analyse the conclusions and recommendations of the evaluations and, where appropriate, in agreement with the partner country, jointly decide on the follow-up actions to be taken and any adjustments necessary, including, if indicated, the reorientation of the </w:t>
      </w:r>
      <w:r w:rsidR="000F16BB">
        <w:t>action</w:t>
      </w:r>
      <w:r w:rsidR="00A046D7">
        <w:t>/component</w:t>
      </w:r>
      <w:r w:rsidR="0081265C">
        <w:t>.</w:t>
      </w:r>
    </w:p>
    <w:p w14:paraId="562F9383" w14:textId="77777777" w:rsidR="00D54B6E" w:rsidRPr="007A53B7" w:rsidRDefault="00D54B6E" w:rsidP="00D321DC">
      <w:pPr>
        <w:rPr>
          <w:snapToGrid w:val="0"/>
          <w:color w:val="000000"/>
          <w:szCs w:val="24"/>
        </w:rPr>
      </w:pPr>
    </w:p>
    <w:p w14:paraId="3FBFCB20" w14:textId="751A6299" w:rsidR="00D54B6E" w:rsidRPr="007A53B7" w:rsidRDefault="00D54B6E" w:rsidP="00E360A2">
      <w:pPr>
        <w:rPr>
          <w:szCs w:val="24"/>
        </w:rPr>
      </w:pPr>
      <w:r w:rsidRPr="007A53B7">
        <w:rPr>
          <w:color w:val="000000"/>
        </w:rPr>
        <w:t xml:space="preserve">The financing of the evaluation shall be covered by another measure constituting a </w:t>
      </w:r>
      <w:r w:rsidRPr="007A53B7">
        <w:rPr>
          <w:snapToGrid w:val="0"/>
          <w:color w:val="000000"/>
          <w:szCs w:val="24"/>
        </w:rPr>
        <w:t>financing</w:t>
      </w:r>
      <w:r w:rsidRPr="007A53B7">
        <w:rPr>
          <w:color w:val="000000"/>
        </w:rPr>
        <w:t xml:space="preserve"> Decision.</w:t>
      </w:r>
    </w:p>
    <w:p w14:paraId="3BE06045" w14:textId="77777777" w:rsidR="00143C18" w:rsidRPr="003C0CD7" w:rsidRDefault="00BA0E8A" w:rsidP="003C0CD7">
      <w:pPr>
        <w:pStyle w:val="Heading1"/>
        <w:numPr>
          <w:ilvl w:val="1"/>
          <w:numId w:val="1"/>
        </w:numPr>
      </w:pPr>
      <w:bookmarkStart w:id="376" w:name="_Ref58841050"/>
      <w:bookmarkStart w:id="377" w:name="_Toc73090781"/>
      <w:r w:rsidRPr="003C0CD7">
        <w:t xml:space="preserve">Audit and </w:t>
      </w:r>
      <w:r w:rsidR="0079347D" w:rsidRPr="003C0CD7">
        <w:t>V</w:t>
      </w:r>
      <w:r w:rsidR="000F408A" w:rsidRPr="003C0CD7">
        <w:t>erifications</w:t>
      </w:r>
      <w:bookmarkEnd w:id="376"/>
      <w:bookmarkEnd w:id="377"/>
    </w:p>
    <w:p w14:paraId="29DA0225" w14:textId="77777777" w:rsidR="00E360A2" w:rsidRPr="006477D1" w:rsidRDefault="00E360A2" w:rsidP="00E360A2">
      <w:pPr>
        <w:rPr>
          <w:rFonts w:cs="Times New Roman"/>
        </w:rPr>
      </w:pPr>
      <w:r w:rsidRPr="003C0CD7">
        <w:rPr>
          <w:rFonts w:cs="Times New Roman"/>
        </w:rPr>
        <w:t xml:space="preserve">Without prejudice to the obligations applicable to contracts concluded for the implementation of this action, the Commission may, </w:t>
      </w:r>
      <w:proofErr w:type="gramStart"/>
      <w:r w:rsidRPr="003C0CD7">
        <w:rPr>
          <w:rFonts w:cs="Times New Roman"/>
        </w:rPr>
        <w:t>on the basis of</w:t>
      </w:r>
      <w:proofErr w:type="gramEnd"/>
      <w:r w:rsidRPr="003C0CD7">
        <w:rPr>
          <w:rFonts w:cs="Times New Roman"/>
        </w:rPr>
        <w:t xml:space="preserve"> a risk assessment, contract independent audit or verification assignments for one or s</w:t>
      </w:r>
      <w:r w:rsidR="006477D1">
        <w:rPr>
          <w:rFonts w:cs="Times New Roman"/>
        </w:rPr>
        <w:t>everal contracts or agreements.</w:t>
      </w:r>
    </w:p>
    <w:p w14:paraId="6FA95F16" w14:textId="668B962C" w:rsidR="003B50D3" w:rsidRPr="000B513D" w:rsidRDefault="00B85F70" w:rsidP="003B50D3">
      <w:pPr>
        <w:pStyle w:val="Heading1"/>
      </w:pPr>
      <w:bookmarkStart w:id="378" w:name="_Toc47101987"/>
      <w:bookmarkStart w:id="379" w:name="_Toc51270482"/>
      <w:bookmarkStart w:id="380" w:name="_Ref58359370"/>
      <w:bookmarkStart w:id="381" w:name="_Ref58841100"/>
      <w:bookmarkStart w:id="382" w:name="_Toc73090782"/>
      <w:r>
        <w:t xml:space="preserve">STRATEGIC </w:t>
      </w:r>
      <w:r w:rsidR="00BE77D6" w:rsidRPr="003C0CD7">
        <w:t xml:space="preserve">COMMUNICATION AND </w:t>
      </w:r>
      <w:bookmarkEnd w:id="378"/>
      <w:bookmarkEnd w:id="379"/>
      <w:bookmarkEnd w:id="380"/>
      <w:bookmarkEnd w:id="381"/>
      <w:bookmarkEnd w:id="382"/>
      <w:r>
        <w:t>PUBLIC DIPLOMACY</w:t>
      </w:r>
      <w:r w:rsidRPr="003C0CD7">
        <w:t xml:space="preserve"> </w:t>
      </w:r>
    </w:p>
    <w:p w14:paraId="4FB1BA5D" w14:textId="77777777" w:rsidR="000F68AF" w:rsidRDefault="000F68AF" w:rsidP="00D321DC">
      <w:pPr>
        <w:rPr>
          <w:rFonts w:cs="Times New Roman"/>
          <w:color w:val="0D0D0D" w:themeColor="text1" w:themeTint="F2"/>
          <w:szCs w:val="24"/>
        </w:rPr>
      </w:pPr>
      <w:r w:rsidRPr="00076DCC">
        <w:rPr>
          <w:szCs w:val="24"/>
        </w:rPr>
        <w:t>A</w:t>
      </w:r>
      <w:proofErr w:type="spellStart"/>
      <w:r w:rsidRPr="00076DCC">
        <w:rPr>
          <w:szCs w:val="24"/>
          <w:lang w:val="en-US"/>
        </w:rPr>
        <w:t>ll</w:t>
      </w:r>
      <w:proofErr w:type="spellEnd"/>
      <w:r w:rsidRPr="00076DCC">
        <w:rPr>
          <w:szCs w:val="24"/>
          <w:lang w:val="en-US"/>
        </w:rPr>
        <w:t xml:space="preserve"> entities implementing EU-funded external actions have the contractual obligation to inform the relevant audiences of the Union’s support for their work by displaying the EU emblem and a short funding statement as appropriate on all communication materials related to the actions concerned. </w:t>
      </w:r>
      <w:r w:rsidR="00812A64" w:rsidRPr="00076DCC">
        <w:rPr>
          <w:rFonts w:cs="Times New Roman"/>
          <w:color w:val="0D0D0D" w:themeColor="text1" w:themeTint="F2"/>
          <w:szCs w:val="24"/>
        </w:rPr>
        <w:t xml:space="preserve">To that end they must comply </w:t>
      </w:r>
      <w:r w:rsidR="00812A64" w:rsidRPr="00076DCC">
        <w:rPr>
          <w:rFonts w:cs="Times New Roman"/>
          <w:color w:val="0D0D0D" w:themeColor="text1" w:themeTint="F2"/>
          <w:szCs w:val="24"/>
        </w:rPr>
        <w:lastRenderedPageBreak/>
        <w:t xml:space="preserve">with the instructions given in the </w:t>
      </w:r>
      <w:r w:rsidR="00812A64">
        <w:rPr>
          <w:rFonts w:cs="Times New Roman"/>
          <w:color w:val="0D0D0D" w:themeColor="text1" w:themeTint="F2"/>
          <w:szCs w:val="24"/>
        </w:rPr>
        <w:t xml:space="preserve">2022 guidance document </w:t>
      </w:r>
      <w:hyperlink r:id="rId21" w:history="1">
        <w:r w:rsidR="00812A64" w:rsidRPr="00FC5D8D">
          <w:rPr>
            <w:rStyle w:val="Hyperlink"/>
            <w:rFonts w:cs="Times New Roman"/>
            <w:i/>
            <w:szCs w:val="24"/>
          </w:rPr>
          <w:t>Communicating and raising EU visibility: Guidance for external actions</w:t>
        </w:r>
      </w:hyperlink>
      <w:r w:rsidR="00812A64" w:rsidRPr="008C7B9F">
        <w:rPr>
          <w:rFonts w:cs="Times New Roman"/>
          <w:color w:val="0D0D0D" w:themeColor="text1" w:themeTint="F2"/>
          <w:szCs w:val="24"/>
        </w:rPr>
        <w:t xml:space="preserve"> </w:t>
      </w:r>
      <w:r w:rsidR="00812A64" w:rsidRPr="00076DCC">
        <w:rPr>
          <w:rFonts w:cs="Times New Roman"/>
          <w:color w:val="0D0D0D" w:themeColor="text1" w:themeTint="F2"/>
          <w:szCs w:val="24"/>
        </w:rPr>
        <w:t>(or any successor document).</w:t>
      </w:r>
      <w:r w:rsidRPr="00076DCC">
        <w:rPr>
          <w:rFonts w:cs="Times New Roman"/>
          <w:color w:val="0D0D0D" w:themeColor="text1" w:themeTint="F2"/>
          <w:szCs w:val="24"/>
        </w:rPr>
        <w:t xml:space="preserve">  </w:t>
      </w:r>
    </w:p>
    <w:p w14:paraId="704766DC" w14:textId="77777777" w:rsidR="000F68AF" w:rsidRDefault="000F68AF" w:rsidP="00D321DC">
      <w:pPr>
        <w:rPr>
          <w:rFonts w:cs="Times New Roman"/>
          <w:color w:val="0D0D0D" w:themeColor="text1" w:themeTint="F2"/>
          <w:szCs w:val="24"/>
        </w:rPr>
      </w:pPr>
    </w:p>
    <w:p w14:paraId="58D1E23E" w14:textId="321FC70D" w:rsidR="000F68AF" w:rsidRPr="00267D2D" w:rsidRDefault="000F68AF" w:rsidP="00D321DC">
      <w:pPr>
        <w:rPr>
          <w:color w:val="0D0D0D" w:themeColor="text1" w:themeTint="F2"/>
        </w:rPr>
      </w:pPr>
      <w:r w:rsidRPr="00076DCC">
        <w:rPr>
          <w:rFonts w:cs="Times New Roman"/>
          <w:color w:val="0D0D0D" w:themeColor="text1" w:themeTint="F2"/>
          <w:szCs w:val="24"/>
        </w:rPr>
        <w:t>This obligation will apply equally, regardless of whether</w:t>
      </w:r>
      <w:r w:rsidRPr="00C85643">
        <w:rPr>
          <w:color w:val="0D0D0D" w:themeColor="text1" w:themeTint="F2"/>
        </w:rPr>
        <w:t xml:space="preserve"> the </w:t>
      </w:r>
      <w:r w:rsidRPr="00076DCC">
        <w:rPr>
          <w:rFonts w:cs="Times New Roman"/>
          <w:color w:val="0D0D0D" w:themeColor="text1" w:themeTint="F2"/>
          <w:szCs w:val="24"/>
        </w:rPr>
        <w:t>actions concerned are</w:t>
      </w:r>
      <w:r w:rsidRPr="00C85643">
        <w:rPr>
          <w:color w:val="0D0D0D" w:themeColor="text1" w:themeTint="F2"/>
        </w:rPr>
        <w:t xml:space="preserve"> implemented by the </w:t>
      </w:r>
      <w:r w:rsidRPr="00076DCC">
        <w:rPr>
          <w:rFonts w:cs="Times New Roman"/>
          <w:color w:val="0D0D0D" w:themeColor="text1" w:themeTint="F2"/>
          <w:szCs w:val="24"/>
        </w:rPr>
        <w:t>Commission,</w:t>
      </w:r>
      <w:r w:rsidRPr="00C85643">
        <w:rPr>
          <w:color w:val="0D0D0D" w:themeColor="text1" w:themeTint="F2"/>
        </w:rPr>
        <w:t xml:space="preserve"> the </w:t>
      </w:r>
      <w:r w:rsidR="002A72BF">
        <w:rPr>
          <w:rFonts w:cs="Times New Roman"/>
          <w:color w:val="0D0D0D" w:themeColor="text1" w:themeTint="F2"/>
          <w:szCs w:val="24"/>
        </w:rPr>
        <w:t>IPA beneficiary/</w:t>
      </w:r>
      <w:proofErr w:type="spellStart"/>
      <w:r w:rsidR="002A72BF">
        <w:rPr>
          <w:rFonts w:cs="Times New Roman"/>
          <w:color w:val="0D0D0D" w:themeColor="text1" w:themeTint="F2"/>
          <w:szCs w:val="24"/>
        </w:rPr>
        <w:t>ies</w:t>
      </w:r>
      <w:proofErr w:type="spellEnd"/>
      <w:r w:rsidRPr="00076DCC">
        <w:rPr>
          <w:rFonts w:cs="Times New Roman"/>
          <w:color w:val="0D0D0D" w:themeColor="text1" w:themeTint="F2"/>
          <w:szCs w:val="24"/>
        </w:rPr>
        <w:t xml:space="preserve">, service providers, </w:t>
      </w:r>
      <w:r w:rsidRPr="00C85643">
        <w:rPr>
          <w:color w:val="0D0D0D" w:themeColor="text1" w:themeTint="F2"/>
        </w:rPr>
        <w:t>grant beneficiaries</w:t>
      </w:r>
      <w:r w:rsidRPr="00076DCC">
        <w:rPr>
          <w:rFonts w:cs="Times New Roman"/>
          <w:color w:val="0D0D0D" w:themeColor="text1" w:themeTint="F2"/>
          <w:szCs w:val="24"/>
        </w:rPr>
        <w:t xml:space="preserve"> or entrusted or delegated entities such as UN agencies, international financial </w:t>
      </w:r>
      <w:proofErr w:type="gramStart"/>
      <w:r w:rsidRPr="00076DCC">
        <w:rPr>
          <w:rFonts w:cs="Times New Roman"/>
          <w:color w:val="0D0D0D" w:themeColor="text1" w:themeTint="F2"/>
          <w:szCs w:val="24"/>
        </w:rPr>
        <w:t>institutions</w:t>
      </w:r>
      <w:proofErr w:type="gramEnd"/>
      <w:r w:rsidRPr="00076DCC">
        <w:rPr>
          <w:rFonts w:cs="Times New Roman"/>
          <w:color w:val="0D0D0D" w:themeColor="text1" w:themeTint="F2"/>
          <w:szCs w:val="24"/>
        </w:rPr>
        <w:t xml:space="preserve"> and agencies of EU Member States. In each case, a reference to the relevant </w:t>
      </w:r>
      <w:r w:rsidRPr="00C85643">
        <w:rPr>
          <w:color w:val="0D0D0D" w:themeColor="text1" w:themeTint="F2"/>
        </w:rPr>
        <w:t xml:space="preserve">contractual obligations </w:t>
      </w:r>
      <w:r w:rsidRPr="00076DCC">
        <w:rPr>
          <w:rFonts w:cs="Times New Roman"/>
          <w:color w:val="0D0D0D" w:themeColor="text1" w:themeTint="F2"/>
          <w:szCs w:val="24"/>
        </w:rPr>
        <w:t>must</w:t>
      </w:r>
      <w:r w:rsidRPr="00C85643">
        <w:rPr>
          <w:color w:val="0D0D0D" w:themeColor="text1" w:themeTint="F2"/>
        </w:rPr>
        <w:t xml:space="preserve"> be included in </w:t>
      </w:r>
      <w:r w:rsidRPr="00076DCC">
        <w:rPr>
          <w:rFonts w:cs="Times New Roman"/>
          <w:color w:val="0D0D0D" w:themeColor="text1" w:themeTint="F2"/>
          <w:szCs w:val="24"/>
        </w:rPr>
        <w:t xml:space="preserve">the respective </w:t>
      </w:r>
      <w:r w:rsidRPr="00C85643">
        <w:rPr>
          <w:color w:val="0D0D0D" w:themeColor="text1" w:themeTint="F2"/>
        </w:rPr>
        <w:t xml:space="preserve">financing </w:t>
      </w:r>
      <w:r w:rsidRPr="00076DCC">
        <w:rPr>
          <w:rFonts w:cs="Times New Roman"/>
          <w:color w:val="0D0D0D" w:themeColor="text1" w:themeTint="F2"/>
          <w:szCs w:val="24"/>
        </w:rPr>
        <w:t>agreement,</w:t>
      </w:r>
      <w:r w:rsidRPr="00C85643">
        <w:rPr>
          <w:color w:val="0D0D0D" w:themeColor="text1" w:themeTint="F2"/>
        </w:rPr>
        <w:t xml:space="preserve"> procurement and grant contracts</w:t>
      </w:r>
      <w:r w:rsidRPr="00076DCC">
        <w:rPr>
          <w:rFonts w:cs="Times New Roman"/>
          <w:color w:val="0D0D0D" w:themeColor="text1" w:themeTint="F2"/>
          <w:szCs w:val="24"/>
        </w:rPr>
        <w:t xml:space="preserve">, and </w:t>
      </w:r>
      <w:r w:rsidR="0080791D">
        <w:rPr>
          <w:rFonts w:cs="Times New Roman"/>
          <w:color w:val="0D0D0D" w:themeColor="text1" w:themeTint="F2"/>
          <w:szCs w:val="24"/>
        </w:rPr>
        <w:t>contribution</w:t>
      </w:r>
      <w:r w:rsidRPr="00076DCC">
        <w:rPr>
          <w:rFonts w:cs="Times New Roman"/>
          <w:color w:val="0D0D0D" w:themeColor="text1" w:themeTint="F2"/>
          <w:szCs w:val="24"/>
        </w:rPr>
        <w:t xml:space="preserve"> agreements</w:t>
      </w:r>
      <w:r w:rsidRPr="00C85643">
        <w:rPr>
          <w:color w:val="0D0D0D" w:themeColor="text1" w:themeTint="F2"/>
        </w:rPr>
        <w:t>.</w:t>
      </w:r>
    </w:p>
    <w:p w14:paraId="09AF4CA2" w14:textId="77777777" w:rsidR="002B4B2A" w:rsidRDefault="002B4B2A" w:rsidP="00D321DC">
      <w:pPr>
        <w:rPr>
          <w:rFonts w:cs="Times New Roman"/>
          <w:color w:val="0D0D0D" w:themeColor="text1" w:themeTint="F2"/>
          <w:szCs w:val="24"/>
        </w:rPr>
      </w:pPr>
    </w:p>
    <w:p w14:paraId="251BA145" w14:textId="67D0BE72" w:rsidR="002B4B2A" w:rsidRPr="00FE25D7" w:rsidRDefault="002B4B2A" w:rsidP="002B4B2A">
      <w:pPr>
        <w:rPr>
          <w:rFonts w:cs="Times New Roman"/>
          <w:color w:val="0D0D0D" w:themeColor="text1" w:themeTint="F2"/>
          <w:szCs w:val="24"/>
        </w:rPr>
      </w:pPr>
      <w:proofErr w:type="gramStart"/>
      <w:r w:rsidRPr="00FE25D7">
        <w:rPr>
          <w:rFonts w:cs="Times New Roman"/>
          <w:color w:val="0D0D0D" w:themeColor="text1" w:themeTint="F2"/>
          <w:szCs w:val="24"/>
        </w:rPr>
        <w:t>For the purpose of</w:t>
      </w:r>
      <w:proofErr w:type="gramEnd"/>
      <w:r w:rsidRPr="00FE25D7">
        <w:rPr>
          <w:rFonts w:cs="Times New Roman"/>
          <w:color w:val="0D0D0D" w:themeColor="text1" w:themeTint="F2"/>
          <w:szCs w:val="24"/>
        </w:rPr>
        <w:t xml:space="preserve"> enhancing the visibility of the EU and its contribution to this action, the Commission may sign or enter into joint declarations or statements, as part of its prerogative of budget implementation and to safeguard the financial interests of the Union. Visibility and communication measures should also promote transparency and accountability on the use of funds. Effectiveness of communication activities on awareness about the action and its objectives as well as on EU funding of the action should be measured. </w:t>
      </w:r>
    </w:p>
    <w:p w14:paraId="3006934F" w14:textId="77777777" w:rsidR="002B4B2A" w:rsidRPr="00FE25D7" w:rsidRDefault="002B4B2A" w:rsidP="002B4B2A">
      <w:pPr>
        <w:rPr>
          <w:rFonts w:cs="Times New Roman"/>
          <w:color w:val="0D0D0D" w:themeColor="text1" w:themeTint="F2"/>
          <w:sz w:val="8"/>
          <w:szCs w:val="8"/>
        </w:rPr>
      </w:pPr>
    </w:p>
    <w:p w14:paraId="074DFCDE" w14:textId="4E271193" w:rsidR="002B4B2A" w:rsidRPr="002B4B2A" w:rsidRDefault="002B4B2A" w:rsidP="002B4B2A">
      <w:pPr>
        <w:rPr>
          <w:rFonts w:cs="Times New Roman"/>
          <w:color w:val="0D0D0D" w:themeColor="text1" w:themeTint="F2"/>
          <w:szCs w:val="24"/>
        </w:rPr>
      </w:pPr>
      <w:r w:rsidRPr="00FE25D7">
        <w:rPr>
          <w:rFonts w:cs="Times New Roman"/>
          <w:color w:val="0D0D0D" w:themeColor="text1" w:themeTint="F2"/>
          <w:szCs w:val="24"/>
        </w:rPr>
        <w:t>Implementing partners shall keep the Commission and the EU Delegation/Office fully informed of the planning and implementation of specific visibility and communication activities before the implementation. Implementing partners will ensure adequate visibility of EU financing and will report on visibility and communication actions as well as the results of the overall action to the relevant monitoring committees.</w:t>
      </w:r>
    </w:p>
    <w:p w14:paraId="6071410D" w14:textId="77777777" w:rsidR="0099058C" w:rsidRPr="003C0CD7" w:rsidRDefault="0099058C" w:rsidP="001B2E35">
      <w:pPr>
        <w:pStyle w:val="Heading1"/>
        <w:rPr>
          <w:sz w:val="32"/>
        </w:rPr>
      </w:pPr>
      <w:bookmarkStart w:id="383" w:name="_Toc72142276"/>
      <w:bookmarkStart w:id="384" w:name="_Toc72142361"/>
      <w:bookmarkStart w:id="385" w:name="_Toc73090700"/>
      <w:bookmarkStart w:id="386" w:name="_Toc73090783"/>
      <w:bookmarkStart w:id="387" w:name="_Toc72142277"/>
      <w:bookmarkStart w:id="388" w:name="_Toc72142362"/>
      <w:bookmarkStart w:id="389" w:name="_Toc73090701"/>
      <w:bookmarkStart w:id="390" w:name="_Toc73090784"/>
      <w:bookmarkStart w:id="391" w:name="_Toc72142278"/>
      <w:bookmarkStart w:id="392" w:name="_Toc72142363"/>
      <w:bookmarkStart w:id="393" w:name="_Toc73090702"/>
      <w:bookmarkStart w:id="394" w:name="_Toc73090785"/>
      <w:bookmarkStart w:id="395" w:name="_Toc72142279"/>
      <w:bookmarkStart w:id="396" w:name="_Toc72142364"/>
      <w:bookmarkStart w:id="397" w:name="_Toc73090703"/>
      <w:bookmarkStart w:id="398" w:name="_Toc73090786"/>
      <w:bookmarkStart w:id="399" w:name="_Toc72142280"/>
      <w:bookmarkStart w:id="400" w:name="_Toc72142365"/>
      <w:bookmarkStart w:id="401" w:name="_Toc73090704"/>
      <w:bookmarkStart w:id="402" w:name="_Toc73090787"/>
      <w:bookmarkStart w:id="403" w:name="_Toc72142281"/>
      <w:bookmarkStart w:id="404" w:name="_Toc72142366"/>
      <w:bookmarkStart w:id="405" w:name="_Toc73090705"/>
      <w:bookmarkStart w:id="406" w:name="_Toc73090788"/>
      <w:bookmarkStart w:id="407" w:name="_Toc72142285"/>
      <w:bookmarkStart w:id="408" w:name="_Toc72142370"/>
      <w:bookmarkStart w:id="409" w:name="_Toc73090709"/>
      <w:bookmarkStart w:id="410" w:name="_Toc73090792"/>
      <w:bookmarkStart w:id="411" w:name="_Toc72142286"/>
      <w:bookmarkStart w:id="412" w:name="_Toc72142371"/>
      <w:bookmarkStart w:id="413" w:name="_Toc73090710"/>
      <w:bookmarkStart w:id="414" w:name="_Toc73090793"/>
      <w:bookmarkStart w:id="415" w:name="_Toc72142287"/>
      <w:bookmarkStart w:id="416" w:name="_Toc72142372"/>
      <w:bookmarkStart w:id="417" w:name="_Toc73090711"/>
      <w:bookmarkStart w:id="418" w:name="_Toc73090794"/>
      <w:bookmarkStart w:id="419" w:name="_Toc72142291"/>
      <w:bookmarkStart w:id="420" w:name="_Toc72142376"/>
      <w:bookmarkStart w:id="421" w:name="_Toc73090715"/>
      <w:bookmarkStart w:id="422" w:name="_Toc73090798"/>
      <w:bookmarkStart w:id="423" w:name="_Toc72142292"/>
      <w:bookmarkStart w:id="424" w:name="_Toc72142377"/>
      <w:bookmarkStart w:id="425" w:name="_Toc73090716"/>
      <w:bookmarkStart w:id="426" w:name="_Toc73090799"/>
      <w:bookmarkStart w:id="427" w:name="_Toc72142293"/>
      <w:bookmarkStart w:id="428" w:name="_Toc72142378"/>
      <w:bookmarkStart w:id="429" w:name="_Toc73090717"/>
      <w:bookmarkStart w:id="430" w:name="_Toc73090800"/>
      <w:bookmarkStart w:id="431" w:name="_Toc72142297"/>
      <w:bookmarkStart w:id="432" w:name="_Toc72142382"/>
      <w:bookmarkStart w:id="433" w:name="_Toc73090721"/>
      <w:bookmarkStart w:id="434" w:name="_Toc73090804"/>
      <w:bookmarkStart w:id="435" w:name="_Toc72142298"/>
      <w:bookmarkStart w:id="436" w:name="_Toc72142383"/>
      <w:bookmarkStart w:id="437" w:name="_Toc73090722"/>
      <w:bookmarkStart w:id="438" w:name="_Toc73090805"/>
      <w:bookmarkStart w:id="439" w:name="_Toc72142299"/>
      <w:bookmarkStart w:id="440" w:name="_Toc72142384"/>
      <w:bookmarkStart w:id="441" w:name="_Toc73090723"/>
      <w:bookmarkStart w:id="442" w:name="_Toc73090806"/>
      <w:bookmarkStart w:id="443" w:name="_Toc57195485"/>
      <w:bookmarkStart w:id="444" w:name="_Toc57203809"/>
      <w:bookmarkStart w:id="445" w:name="_Toc57204007"/>
      <w:bookmarkStart w:id="446" w:name="_Toc57205822"/>
      <w:bookmarkStart w:id="447" w:name="_Toc7309080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3C0CD7">
        <w:t>SUSTAINABILITY</w:t>
      </w:r>
      <w:bookmarkEnd w:id="443"/>
      <w:bookmarkEnd w:id="444"/>
      <w:bookmarkEnd w:id="445"/>
      <w:bookmarkEnd w:id="446"/>
      <w:bookmarkEnd w:id="447"/>
    </w:p>
    <w:p w14:paraId="57FBC28D" w14:textId="01A34C57" w:rsidR="00CD5B6F" w:rsidRPr="00515A7C" w:rsidRDefault="00CD5B6F" w:rsidP="0023789D">
      <w:pPr>
        <w:autoSpaceDE w:val="0"/>
        <w:autoSpaceDN w:val="0"/>
        <w:spacing w:before="40" w:after="240"/>
        <w:rPr>
          <w:rFonts w:cs="Times New Roman"/>
        </w:rPr>
      </w:pPr>
      <w:r w:rsidRPr="6D548B4D">
        <w:rPr>
          <w:rFonts w:cs="Times New Roman"/>
        </w:rPr>
        <w:t xml:space="preserve">Sustainability of the action’s results </w:t>
      </w:r>
      <w:r w:rsidR="005B0491" w:rsidRPr="6D548B4D">
        <w:rPr>
          <w:rFonts w:cs="Times New Roman"/>
        </w:rPr>
        <w:t>should</w:t>
      </w:r>
      <w:r w:rsidRPr="6D548B4D">
        <w:rPr>
          <w:rFonts w:cs="Times New Roman"/>
        </w:rPr>
        <w:t xml:space="preserve"> be ensured through the involvement </w:t>
      </w:r>
      <w:r w:rsidR="00BF1602" w:rsidRPr="6D548B4D">
        <w:rPr>
          <w:rFonts w:cs="Times New Roman"/>
        </w:rPr>
        <w:t>and commitment of key</w:t>
      </w:r>
      <w:r w:rsidR="00CD7AFB" w:rsidRPr="6D548B4D">
        <w:rPr>
          <w:rFonts w:cs="Times New Roman"/>
        </w:rPr>
        <w:t xml:space="preserve"> </w:t>
      </w:r>
      <w:r w:rsidRPr="6D548B4D">
        <w:rPr>
          <w:rFonts w:cs="Times New Roman"/>
        </w:rPr>
        <w:t>domestic and international actors working on</w:t>
      </w:r>
      <w:r w:rsidR="000C303C" w:rsidRPr="6D548B4D">
        <w:rPr>
          <w:rFonts w:cs="Times New Roman"/>
        </w:rPr>
        <w:t xml:space="preserve"> </w:t>
      </w:r>
      <w:r w:rsidRPr="6D548B4D">
        <w:rPr>
          <w:rFonts w:cs="Times New Roman"/>
        </w:rPr>
        <w:t xml:space="preserve">areas covered by this </w:t>
      </w:r>
      <w:r w:rsidR="001A10EA">
        <w:rPr>
          <w:rFonts w:cs="Times New Roman"/>
        </w:rPr>
        <w:t>a</w:t>
      </w:r>
      <w:r w:rsidRPr="6D548B4D">
        <w:rPr>
          <w:rFonts w:cs="Times New Roman"/>
        </w:rPr>
        <w:t>ction and its components.  </w:t>
      </w:r>
    </w:p>
    <w:p w14:paraId="7063931B" w14:textId="4EF8EED2" w:rsidR="00CD5B6F" w:rsidRPr="00515A7C" w:rsidRDefault="00CD5B6F" w:rsidP="00CD5B6F">
      <w:pPr>
        <w:autoSpaceDE w:val="0"/>
        <w:autoSpaceDN w:val="0"/>
        <w:spacing w:before="40" w:after="40"/>
        <w:rPr>
          <w:rFonts w:cs="Times New Roman"/>
        </w:rPr>
      </w:pPr>
      <w:r w:rsidRPr="6D548B4D">
        <w:rPr>
          <w:rFonts w:cs="Times New Roman"/>
        </w:rPr>
        <w:t>Key aspects to secure sustainability of the action are: </w:t>
      </w:r>
    </w:p>
    <w:p w14:paraId="370F64A0" w14:textId="67038680" w:rsidR="00CD5B6F" w:rsidRPr="00515A7C" w:rsidRDefault="00CD5B6F" w:rsidP="00CD5B6F">
      <w:pPr>
        <w:autoSpaceDE w:val="0"/>
        <w:autoSpaceDN w:val="0"/>
        <w:spacing w:before="40" w:after="40"/>
        <w:ind w:left="720" w:hanging="360"/>
        <w:rPr>
          <w:rFonts w:cs="Times New Roman"/>
        </w:rPr>
      </w:pPr>
      <w:r w:rsidRPr="004A4C6A">
        <w:rPr>
          <w:rFonts w:cs="Times New Roman" w:hint="eastAsia"/>
        </w:rPr>
        <w:t>·</w:t>
      </w:r>
      <w:r w:rsidRPr="004A4C6A">
        <w:rPr>
          <w:rFonts w:cs="Times New Roman"/>
        </w:rPr>
        <w:t>         Ownership by beneficiaries </w:t>
      </w:r>
    </w:p>
    <w:p w14:paraId="649424AA" w14:textId="47212783" w:rsidR="00CD5B6F" w:rsidRPr="00515A7C" w:rsidRDefault="00CD5B6F" w:rsidP="00CD5B6F">
      <w:pPr>
        <w:autoSpaceDE w:val="0"/>
        <w:autoSpaceDN w:val="0"/>
        <w:spacing w:before="40" w:after="40"/>
        <w:ind w:left="720" w:hanging="360"/>
        <w:rPr>
          <w:rFonts w:cs="Times New Roman"/>
        </w:rPr>
      </w:pPr>
      <w:r w:rsidRPr="004A4C6A">
        <w:rPr>
          <w:rFonts w:cs="Times New Roman" w:hint="eastAsia"/>
        </w:rPr>
        <w:t>·</w:t>
      </w:r>
      <w:r w:rsidRPr="004A4C6A">
        <w:rPr>
          <w:rFonts w:cs="Times New Roman"/>
        </w:rPr>
        <w:t>         Capacity building of beneficiaries </w:t>
      </w:r>
    </w:p>
    <w:p w14:paraId="224F8618" w14:textId="3AF97C56" w:rsidR="00CD5B6F" w:rsidRPr="00515A7C" w:rsidRDefault="00CD5B6F" w:rsidP="00CD5B6F">
      <w:pPr>
        <w:autoSpaceDE w:val="0"/>
        <w:autoSpaceDN w:val="0"/>
        <w:spacing w:before="40" w:after="40"/>
        <w:ind w:left="720" w:hanging="360"/>
        <w:rPr>
          <w:rFonts w:cs="Times New Roman"/>
        </w:rPr>
      </w:pPr>
      <w:r w:rsidRPr="004A4C6A">
        <w:rPr>
          <w:rFonts w:cs="Times New Roman" w:hint="eastAsia"/>
        </w:rPr>
        <w:t>·</w:t>
      </w:r>
      <w:r w:rsidRPr="004A4C6A">
        <w:rPr>
          <w:rFonts w:cs="Times New Roman"/>
        </w:rPr>
        <w:t xml:space="preserve">         </w:t>
      </w:r>
      <w:r w:rsidR="00515A7C" w:rsidRPr="004A4C6A">
        <w:rPr>
          <w:rFonts w:cs="Times New Roman"/>
        </w:rPr>
        <w:t>Complementarity</w:t>
      </w:r>
      <w:r w:rsidRPr="004A4C6A">
        <w:rPr>
          <w:rFonts w:cs="Times New Roman"/>
        </w:rPr>
        <w:t xml:space="preserve"> with other actions/programmes by EU and other donors </w:t>
      </w:r>
    </w:p>
    <w:p w14:paraId="3CF21B2A" w14:textId="46214874" w:rsidR="008F1569" w:rsidRDefault="00CD5B6F" w:rsidP="00782BB0">
      <w:pPr>
        <w:autoSpaceDE w:val="0"/>
        <w:autoSpaceDN w:val="0"/>
        <w:spacing w:before="40" w:after="40"/>
        <w:ind w:left="720" w:hanging="360"/>
        <w:rPr>
          <w:b/>
        </w:rPr>
      </w:pPr>
      <w:r w:rsidRPr="004A4C6A">
        <w:rPr>
          <w:rFonts w:cs="Times New Roman" w:hint="eastAsia"/>
        </w:rPr>
        <w:t>·</w:t>
      </w:r>
      <w:r w:rsidRPr="004A4C6A">
        <w:rPr>
          <w:rFonts w:cs="Times New Roman"/>
        </w:rPr>
        <w:t>         Continued political support in the context of enlargement negotiations </w:t>
      </w:r>
      <w:r w:rsidRPr="004A4C6A">
        <w:rPr>
          <w:rFonts w:cs="Times New Roman"/>
          <w:color w:val="000000" w:themeColor="text1"/>
        </w:rPr>
        <w:t xml:space="preserve"> </w:t>
      </w:r>
      <w:bookmarkStart w:id="448" w:name="_Ref58428013"/>
    </w:p>
    <w:bookmarkEnd w:id="448"/>
    <w:sectPr w:rsidR="008F1569" w:rsidSect="00656C56">
      <w:pgSz w:w="11906" w:h="16838"/>
      <w:pgMar w:top="1135"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7308" w14:textId="77777777" w:rsidR="001C3334" w:rsidRDefault="001C3334" w:rsidP="0022259C">
      <w:r>
        <w:separator/>
      </w:r>
    </w:p>
    <w:p w14:paraId="6F47D2FE" w14:textId="77777777" w:rsidR="001C3334" w:rsidRDefault="001C3334"/>
    <w:p w14:paraId="3176595A" w14:textId="77777777" w:rsidR="001C3334" w:rsidRDefault="001C3334"/>
  </w:endnote>
  <w:endnote w:type="continuationSeparator" w:id="0">
    <w:p w14:paraId="7973744D" w14:textId="77777777" w:rsidR="001C3334" w:rsidRDefault="001C3334" w:rsidP="0022259C">
      <w:r>
        <w:continuationSeparator/>
      </w:r>
    </w:p>
    <w:p w14:paraId="5D419CF1" w14:textId="77777777" w:rsidR="001C3334" w:rsidRDefault="001C3334"/>
    <w:p w14:paraId="392EA3D7" w14:textId="77777777" w:rsidR="001C3334" w:rsidRDefault="001C3334"/>
  </w:endnote>
  <w:endnote w:type="continuationNotice" w:id="1">
    <w:p w14:paraId="1B5625BC" w14:textId="77777777" w:rsidR="001C3334" w:rsidRDefault="001C3334"/>
    <w:p w14:paraId="52F26DC5" w14:textId="77777777" w:rsidR="001C3334" w:rsidRDefault="001C3334"/>
    <w:p w14:paraId="3969FB8E" w14:textId="77777777" w:rsidR="001C3334" w:rsidRDefault="001C3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EC Square Sans Pro Thin">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96F8" w14:textId="77777777" w:rsidR="00D4560A" w:rsidRDefault="00D45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472689"/>
      <w:docPartObj>
        <w:docPartGallery w:val="Page Numbers (Bottom of Page)"/>
        <w:docPartUnique/>
      </w:docPartObj>
    </w:sdtPr>
    <w:sdtEndPr>
      <w:rPr>
        <w:noProof/>
        <w:sz w:val="22"/>
      </w:rPr>
    </w:sdtEndPr>
    <w:sdtContent>
      <w:p w14:paraId="7AABFF9E" w14:textId="4245C5EF" w:rsidR="00C32C5C" w:rsidRPr="00A958DB" w:rsidRDefault="00C32C5C">
        <w:pPr>
          <w:pStyle w:val="Footer"/>
          <w:jc w:val="right"/>
          <w:rPr>
            <w:sz w:val="22"/>
          </w:rPr>
        </w:pPr>
        <w:r w:rsidRPr="00A958DB">
          <w:rPr>
            <w:sz w:val="22"/>
          </w:rPr>
          <w:fldChar w:fldCharType="begin"/>
        </w:r>
        <w:r w:rsidRPr="00A958DB">
          <w:rPr>
            <w:sz w:val="22"/>
          </w:rPr>
          <w:instrText xml:space="preserve"> PAGE   \* MERGEFORMAT </w:instrText>
        </w:r>
        <w:r w:rsidRPr="00A958DB">
          <w:rPr>
            <w:sz w:val="22"/>
          </w:rPr>
          <w:fldChar w:fldCharType="separate"/>
        </w:r>
        <w:r w:rsidR="006266C0">
          <w:rPr>
            <w:noProof/>
            <w:sz w:val="22"/>
          </w:rPr>
          <w:t>27</w:t>
        </w:r>
        <w:r w:rsidRPr="00A958DB">
          <w:rPr>
            <w:noProof/>
            <w:sz w:val="22"/>
          </w:rPr>
          <w:fldChar w:fldCharType="end"/>
        </w:r>
      </w:p>
    </w:sdtContent>
  </w:sdt>
  <w:p w14:paraId="337A5266" w14:textId="77777777" w:rsidR="00C32C5C" w:rsidRDefault="00C32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185F" w14:textId="77777777" w:rsidR="00D4560A" w:rsidRDefault="00D45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4077" w14:textId="77777777" w:rsidR="001C3334" w:rsidRDefault="001C3334" w:rsidP="0022259C">
      <w:r>
        <w:separator/>
      </w:r>
    </w:p>
    <w:p w14:paraId="5030186E" w14:textId="77777777" w:rsidR="001C3334" w:rsidRDefault="001C3334"/>
    <w:p w14:paraId="60260FE5" w14:textId="77777777" w:rsidR="001C3334" w:rsidRDefault="001C3334"/>
  </w:footnote>
  <w:footnote w:type="continuationSeparator" w:id="0">
    <w:p w14:paraId="488C50C5" w14:textId="77777777" w:rsidR="001C3334" w:rsidRDefault="001C3334" w:rsidP="0022259C">
      <w:r>
        <w:continuationSeparator/>
      </w:r>
    </w:p>
    <w:p w14:paraId="4A036E48" w14:textId="77777777" w:rsidR="001C3334" w:rsidRDefault="001C3334"/>
    <w:p w14:paraId="00AA9C66" w14:textId="77777777" w:rsidR="001C3334" w:rsidRDefault="001C3334"/>
  </w:footnote>
  <w:footnote w:type="continuationNotice" w:id="1">
    <w:p w14:paraId="7886F597" w14:textId="77777777" w:rsidR="001C3334" w:rsidRDefault="001C3334"/>
    <w:p w14:paraId="6C888791" w14:textId="77777777" w:rsidR="001C3334" w:rsidRDefault="001C3334"/>
    <w:p w14:paraId="4CC5C8E0" w14:textId="77777777" w:rsidR="001C3334" w:rsidRDefault="001C3334"/>
  </w:footnote>
  <w:footnote w:id="2">
    <w:p w14:paraId="291DF478" w14:textId="2E385B5A" w:rsidR="00EC2DEB" w:rsidRPr="00AF177D" w:rsidRDefault="00EC2DEB" w:rsidP="00EC2DEB">
      <w:pPr>
        <w:pStyle w:val="FootnoteText"/>
      </w:pPr>
      <w:r w:rsidRPr="00AF177D">
        <w:rPr>
          <w:rStyle w:val="FootnoteReference"/>
        </w:rPr>
        <w:footnoteRef/>
      </w:r>
      <w:r w:rsidRPr="00AF177D">
        <w:t xml:space="preserve"> </w:t>
      </w:r>
      <w:r w:rsidR="009F7D3D">
        <w:t xml:space="preserve">Moldova is </w:t>
      </w:r>
      <w:r w:rsidR="003B0FCC">
        <w:t xml:space="preserve">beneficiary for components 1, 2, and 3 described in paragraph 3, </w:t>
      </w:r>
      <w:r w:rsidR="003B0FCC" w:rsidRPr="003B0FCC">
        <w:t>i</w:t>
      </w:r>
      <w:r w:rsidRPr="004F1899">
        <w:t xml:space="preserve">n order to ensure the coherence and effectiveness of </w:t>
      </w:r>
      <w:r w:rsidR="009E4239" w:rsidRPr="004F1899">
        <w:t xml:space="preserve">the European </w:t>
      </w:r>
      <w:r w:rsidRPr="004F1899">
        <w:t>Union financing and to foster regional cooperation</w:t>
      </w:r>
      <w:r w:rsidR="004F1899">
        <w:t>.</w:t>
      </w:r>
      <w:r w:rsidR="00D85F89" w:rsidRPr="003B0FCC">
        <w:t xml:space="preserve"> </w:t>
      </w:r>
    </w:p>
  </w:footnote>
  <w:footnote w:id="3">
    <w:p w14:paraId="3BC13CC6" w14:textId="77777777" w:rsidR="00723E96" w:rsidRPr="009A0C14" w:rsidRDefault="00723E96" w:rsidP="00723E96">
      <w:pPr>
        <w:pStyle w:val="FootnoteText"/>
      </w:pPr>
      <w:r>
        <w:rPr>
          <w:rStyle w:val="FootnoteReference"/>
        </w:rPr>
        <w:footnoteRef/>
      </w:r>
      <w:r>
        <w:t xml:space="preserve"> </w:t>
      </w:r>
      <w:hyperlink r:id="rId1" w:history="1">
        <w:r w:rsidRPr="009A0C14">
          <w:rPr>
            <w:rStyle w:val="Hyperlink"/>
          </w:rPr>
          <w:t>EU Candidate Countries’ &amp; Potential Candidates’ Economic Quarterly (CCEQ), 4th Quarter 2022 (europa.eu)</w:t>
        </w:r>
      </w:hyperlink>
    </w:p>
  </w:footnote>
  <w:footnote w:id="4">
    <w:p w14:paraId="7F453A8A" w14:textId="77777777" w:rsidR="00723E96" w:rsidRPr="00260412" w:rsidRDefault="00723E96" w:rsidP="00723E96">
      <w:pPr>
        <w:pStyle w:val="FootnoteText"/>
      </w:pPr>
      <w:r>
        <w:rPr>
          <w:rStyle w:val="FootnoteReference"/>
        </w:rPr>
        <w:footnoteRef/>
      </w:r>
      <w:r>
        <w:t xml:space="preserve"> </w:t>
      </w:r>
      <w:hyperlink r:id="rId2" w:history="1">
        <w:r w:rsidRPr="00260412">
          <w:rPr>
            <w:rStyle w:val="Hyperlink"/>
          </w:rPr>
          <w:t>Competitiveness in South East Europe: A Policy Outlook 2021</w:t>
        </w:r>
      </w:hyperlink>
      <w:r w:rsidRPr="00260412">
        <w:rPr>
          <w:rStyle w:val="Hyperlink"/>
        </w:rPr>
        <w:t>, OECD</w:t>
      </w:r>
    </w:p>
  </w:footnote>
  <w:footnote w:id="5">
    <w:p w14:paraId="01B73C77" w14:textId="0F847ACC" w:rsidR="00723E96" w:rsidRDefault="00723E96">
      <w:pPr>
        <w:pStyle w:val="FootnoteText"/>
      </w:pPr>
      <w:r>
        <w:rPr>
          <w:rStyle w:val="FootnoteReference"/>
        </w:rPr>
        <w:footnoteRef/>
      </w:r>
      <w:r>
        <w:t xml:space="preserve"> </w:t>
      </w:r>
      <w:hyperlink r:id="rId3" w:history="1">
        <w:r w:rsidRPr="00723E96">
          <w:rPr>
            <w:rStyle w:val="Hyperlink"/>
          </w:rPr>
          <w:t>Growth Plan for the Western Balkans communication</w:t>
        </w:r>
      </w:hyperlink>
      <w:r>
        <w:t xml:space="preserve"> </w:t>
      </w:r>
    </w:p>
  </w:footnote>
  <w:footnote w:id="6">
    <w:p w14:paraId="79541D87" w14:textId="569C7410" w:rsidR="008E22CE" w:rsidRDefault="008E22CE">
      <w:pPr>
        <w:pStyle w:val="FootnoteText"/>
      </w:pPr>
      <w:r>
        <w:rPr>
          <w:rStyle w:val="FootnoteReference"/>
        </w:rPr>
        <w:footnoteRef/>
      </w:r>
      <w:r>
        <w:t xml:space="preserve"> </w:t>
      </w:r>
      <w:r w:rsidRPr="00A27411">
        <w:t>COM (2020) 641 final, 6.10.2020</w:t>
      </w:r>
    </w:p>
  </w:footnote>
  <w:footnote w:id="7">
    <w:p w14:paraId="418B202D" w14:textId="77777777" w:rsidR="00523B6F" w:rsidRPr="00A27411" w:rsidRDefault="00523B6F" w:rsidP="00523B6F">
      <w:pPr>
        <w:pStyle w:val="FootnoteText"/>
        <w:rPr>
          <w:lang w:val="en-US"/>
        </w:rPr>
      </w:pPr>
      <w:r>
        <w:rPr>
          <w:rStyle w:val="FootnoteReference"/>
        </w:rPr>
        <w:footnoteRef/>
      </w:r>
      <w:r>
        <w:t xml:space="preserve"> </w:t>
      </w:r>
      <w:r w:rsidRPr="00A27411">
        <w:t>SWD(2020)223 final, 6.10.2020</w:t>
      </w:r>
    </w:p>
  </w:footnote>
  <w:footnote w:id="8">
    <w:p w14:paraId="22FD18D8" w14:textId="623FADAD" w:rsidR="00FC0F8F" w:rsidRDefault="00FC0F8F">
      <w:pPr>
        <w:pStyle w:val="FootnoteText"/>
      </w:pPr>
      <w:r>
        <w:rPr>
          <w:rStyle w:val="FootnoteReference"/>
        </w:rPr>
        <w:footnoteRef/>
      </w:r>
      <w:r>
        <w:t xml:space="preserve"> EIB (2023). </w:t>
      </w:r>
      <w:r w:rsidRPr="00214625">
        <w:rPr>
          <w:i/>
        </w:rPr>
        <w:t>The impact of the EIB’s intermediated lending to businesses in the Western Balkans.</w:t>
      </w:r>
    </w:p>
  </w:footnote>
  <w:footnote w:id="9">
    <w:p w14:paraId="2DAD0959" w14:textId="484D70F2" w:rsidR="00F06A4D" w:rsidRDefault="00F06A4D">
      <w:pPr>
        <w:pStyle w:val="FootnoteText"/>
      </w:pPr>
      <w:r>
        <w:rPr>
          <w:rStyle w:val="FootnoteReference"/>
        </w:rPr>
        <w:footnoteRef/>
      </w:r>
      <w:r>
        <w:t xml:space="preserve"> </w:t>
      </w:r>
      <w:hyperlink r:id="rId4" w:anchor="/main" w:history="1">
        <w:r w:rsidRPr="00F06A4D">
          <w:rPr>
            <w:rStyle w:val="Hyperlink"/>
          </w:rPr>
          <w:t>EU Sanctions Map</w:t>
        </w:r>
      </w:hyperlink>
      <w:r w:rsidRPr="00F06A4D">
        <w:t>. 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footnote>
  <w:footnote w:id="10">
    <w:p w14:paraId="13C1736A" w14:textId="4EB68809" w:rsidR="00882892" w:rsidRPr="00882892" w:rsidRDefault="00882892">
      <w:pPr>
        <w:pStyle w:val="FootnoteText"/>
      </w:pPr>
      <w:r w:rsidRPr="0067568B">
        <w:rPr>
          <w:rStyle w:val="FootnoteReference"/>
        </w:rPr>
        <w:footnoteRef/>
      </w:r>
      <w:r w:rsidRPr="0067568B">
        <w:t xml:space="preserve"> Further breakdown provided in Appendix 1</w:t>
      </w:r>
      <w:r w:rsidR="00FD24AD" w:rsidRPr="0067568B">
        <w:t>, i.e. number of primary interventions and indicative budgets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4E3D" w14:textId="77777777" w:rsidR="00D4560A" w:rsidRDefault="00D45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39F3" w14:textId="77777777" w:rsidR="00C32C5C" w:rsidRPr="004257C0" w:rsidRDefault="00C32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D493" w14:textId="77777777" w:rsidR="00D4560A" w:rsidRDefault="00D45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767"/>
    <w:multiLevelType w:val="multilevel"/>
    <w:tmpl w:val="5E14BDC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045F8D"/>
    <w:multiLevelType w:val="hybridMultilevel"/>
    <w:tmpl w:val="D024758A"/>
    <w:lvl w:ilvl="0" w:tplc="949A721E">
      <w:start w:val="1"/>
      <w:numFmt w:val="bullet"/>
      <w:lvlText w:val="-"/>
      <w:lvlJc w:val="left"/>
      <w:pPr>
        <w:ind w:left="720" w:hanging="360"/>
      </w:pPr>
      <w:rPr>
        <w:rFonts w:ascii="Times New Roman" w:eastAsia="Times New Roman" w:hAnsi="Times New Roman" w:cs="Times New Roman" w:hint="default"/>
        <w:b/>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82F88"/>
    <w:multiLevelType w:val="hybridMultilevel"/>
    <w:tmpl w:val="326E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74896"/>
    <w:multiLevelType w:val="hybridMultilevel"/>
    <w:tmpl w:val="ADFC4B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275932"/>
    <w:multiLevelType w:val="multilevel"/>
    <w:tmpl w:val="C69AA084"/>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2E52B8"/>
    <w:multiLevelType w:val="hybridMultilevel"/>
    <w:tmpl w:val="B7AA9D0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5D866F3"/>
    <w:multiLevelType w:val="hybridMultilevel"/>
    <w:tmpl w:val="827C3EEE"/>
    <w:lvl w:ilvl="0" w:tplc="949A721E">
      <w:start w:val="1"/>
      <w:numFmt w:val="bullet"/>
      <w:lvlText w:val="-"/>
      <w:lvlJc w:val="left"/>
      <w:pPr>
        <w:ind w:left="720" w:hanging="360"/>
      </w:pPr>
      <w:rPr>
        <w:rFonts w:ascii="Times New Roman" w:eastAsia="Times New Roman" w:hAnsi="Times New Roman" w:cs="Times New Roman" w:hint="default"/>
        <w:b/>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E13F77"/>
    <w:multiLevelType w:val="hybridMultilevel"/>
    <w:tmpl w:val="08AE4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6CF715B"/>
    <w:multiLevelType w:val="multilevel"/>
    <w:tmpl w:val="41CEC786"/>
    <w:lvl w:ilvl="0">
      <w:start w:val="1"/>
      <w:numFmt w:val="decimal"/>
      <w:lvlText w:val="%1."/>
      <w:lvlJc w:val="left"/>
      <w:pPr>
        <w:ind w:left="360" w:hanging="360"/>
      </w:pPr>
      <w:rPr>
        <w:rFonts w:ascii="Times New Roman" w:hAnsi="Times New Roman" w:cs="Times New Roman" w:hint="default"/>
        <w:color w:val="auto"/>
      </w:rPr>
    </w:lvl>
    <w:lvl w:ilvl="1">
      <w:start w:val="1"/>
      <w:numFmt w:val="decimal"/>
      <w:pStyle w:val="Heading2"/>
      <w:lvlText w:val="%1.%2."/>
      <w:lvlJc w:val="left"/>
      <w:pPr>
        <w:ind w:left="2417" w:hanging="432"/>
      </w:pPr>
      <w:rPr>
        <w:rFonts w:ascii="Times New Roman" w:hAnsi="Times New Roman" w:cs="Times New Roman" w:hint="default"/>
        <w:color w:val="auto"/>
      </w:rPr>
    </w:lvl>
    <w:lvl w:ilvl="2">
      <w:start w:val="1"/>
      <w:numFmt w:val="decimal"/>
      <w:pStyle w:val="Heading3"/>
      <w:lvlText w:val="%1.%2.%3."/>
      <w:lvlJc w:val="left"/>
      <w:pPr>
        <w:ind w:left="1214" w:hanging="504"/>
      </w:pPr>
      <w:rPr>
        <w:rFonts w:hint="default"/>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8ED2DAF"/>
    <w:multiLevelType w:val="hybridMultilevel"/>
    <w:tmpl w:val="8688834C"/>
    <w:lvl w:ilvl="0" w:tplc="8CB229E8">
      <w:numFmt w:val="bullet"/>
      <w:lvlText w:val=""/>
      <w:lvlJc w:val="left"/>
      <w:pPr>
        <w:ind w:left="720" w:hanging="360"/>
      </w:pPr>
      <w:rPr>
        <w:rFonts w:ascii="Symbol" w:eastAsia="Calibri" w:hAnsi="Symbol" w:cs="Courier New"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6601C1"/>
    <w:multiLevelType w:val="hybridMultilevel"/>
    <w:tmpl w:val="F926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9387E"/>
    <w:multiLevelType w:val="multilevel"/>
    <w:tmpl w:val="0016B1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15232E"/>
    <w:multiLevelType w:val="hybridMultilevel"/>
    <w:tmpl w:val="6BAE91CC"/>
    <w:lvl w:ilvl="0" w:tplc="30F6D74E">
      <w:start w:val="1"/>
      <w:numFmt w:val="bullet"/>
      <w:lvlText w:val=""/>
      <w:lvlJc w:val="left"/>
      <w:pPr>
        <w:ind w:left="1440" w:hanging="360"/>
      </w:pPr>
      <w:rPr>
        <w:rFonts w:ascii="Wingdings" w:hAnsi="Wingdings" w:hint="default"/>
        <w:color w:val="000000" w:themeColor="text1"/>
      </w:rPr>
    </w:lvl>
    <w:lvl w:ilvl="1" w:tplc="30F6D74E">
      <w:start w:val="1"/>
      <w:numFmt w:val="bullet"/>
      <w:lvlText w:val=""/>
      <w:lvlJc w:val="left"/>
      <w:pPr>
        <w:ind w:left="2160" w:hanging="360"/>
      </w:pPr>
      <w:rPr>
        <w:rFonts w:ascii="Wingdings" w:hAnsi="Wingdings" w:hint="default"/>
        <w:color w:val="000000" w:themeColor="text1"/>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E050F26"/>
    <w:multiLevelType w:val="hybridMultilevel"/>
    <w:tmpl w:val="83024D40"/>
    <w:lvl w:ilvl="0" w:tplc="B972DE2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FCF3463"/>
    <w:multiLevelType w:val="hybridMultilevel"/>
    <w:tmpl w:val="C98CABC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0360F31"/>
    <w:multiLevelType w:val="hybridMultilevel"/>
    <w:tmpl w:val="F2B258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25E60E6"/>
    <w:multiLevelType w:val="hybridMultilevel"/>
    <w:tmpl w:val="554EF82E"/>
    <w:lvl w:ilvl="0" w:tplc="7A602CA6">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55226AC"/>
    <w:multiLevelType w:val="hybridMultilevel"/>
    <w:tmpl w:val="F4980CA4"/>
    <w:lvl w:ilvl="0" w:tplc="F05ED938">
      <w:start w:val="3"/>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48789E"/>
    <w:multiLevelType w:val="hybridMultilevel"/>
    <w:tmpl w:val="6E86954A"/>
    <w:lvl w:ilvl="0" w:tplc="19624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89A0D94"/>
    <w:multiLevelType w:val="hybridMultilevel"/>
    <w:tmpl w:val="9E721944"/>
    <w:lvl w:ilvl="0" w:tplc="6108C74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7B39A1"/>
    <w:multiLevelType w:val="hybridMultilevel"/>
    <w:tmpl w:val="FFFFFFFF"/>
    <w:lvl w:ilvl="0" w:tplc="080C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601B15"/>
    <w:multiLevelType w:val="hybridMultilevel"/>
    <w:tmpl w:val="508427D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E3C11F7"/>
    <w:multiLevelType w:val="hybridMultilevel"/>
    <w:tmpl w:val="D9A2B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F041336"/>
    <w:multiLevelType w:val="hybridMultilevel"/>
    <w:tmpl w:val="E93EACB2"/>
    <w:lvl w:ilvl="0" w:tplc="0809000B">
      <w:start w:val="1"/>
      <w:numFmt w:val="bullet"/>
      <w:lvlText w:val=""/>
      <w:lvlJc w:val="left"/>
      <w:pPr>
        <w:ind w:left="720" w:hanging="360"/>
      </w:pPr>
      <w:rPr>
        <w:rFonts w:ascii="Wingdings" w:hAnsi="Wingding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C86E12"/>
    <w:multiLevelType w:val="hybridMultilevel"/>
    <w:tmpl w:val="97980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E8008E"/>
    <w:multiLevelType w:val="hybridMultilevel"/>
    <w:tmpl w:val="89C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F266B0"/>
    <w:multiLevelType w:val="hybridMultilevel"/>
    <w:tmpl w:val="4838E098"/>
    <w:lvl w:ilvl="0" w:tplc="E72C1A94">
      <w:start w:val="1"/>
      <w:numFmt w:val="lowerLetter"/>
      <w:lvlText w:val="%1)"/>
      <w:lvlJc w:val="left"/>
      <w:pPr>
        <w:ind w:left="360" w:hanging="360"/>
      </w:pPr>
      <w:rPr>
        <w:i w:val="0"/>
      </w:rPr>
    </w:lvl>
    <w:lvl w:ilvl="1" w:tplc="08090019">
      <w:start w:val="1"/>
      <w:numFmt w:val="lowerLetter"/>
      <w:lvlText w:val="%2."/>
      <w:lvlJc w:val="left"/>
      <w:pPr>
        <w:ind w:left="1080" w:hanging="360"/>
      </w:pPr>
    </w:lvl>
    <w:lvl w:ilvl="2" w:tplc="D10EA9D8">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2263AD7"/>
    <w:multiLevelType w:val="multilevel"/>
    <w:tmpl w:val="2DCC5F2E"/>
    <w:lvl w:ilvl="0">
      <w:start w:val="5"/>
      <w:numFmt w:val="decimal"/>
      <w:lvlText w:val="%1"/>
      <w:lvlJc w:val="left"/>
      <w:pPr>
        <w:ind w:left="360" w:hanging="360"/>
      </w:pPr>
      <w:rPr>
        <w:rFonts w:hint="default"/>
        <w:color w:val="0D0D0D" w:themeColor="text1" w:themeTint="F2"/>
      </w:rPr>
    </w:lvl>
    <w:lvl w:ilvl="1">
      <w:start w:val="7"/>
      <w:numFmt w:val="decimal"/>
      <w:lvlText w:val="%1.%2"/>
      <w:lvlJc w:val="left"/>
      <w:pPr>
        <w:ind w:left="927" w:hanging="360"/>
      </w:pPr>
      <w:rPr>
        <w:rFonts w:hint="default"/>
        <w:color w:val="0D0D0D" w:themeColor="text1" w:themeTint="F2"/>
      </w:rPr>
    </w:lvl>
    <w:lvl w:ilvl="2">
      <w:start w:val="1"/>
      <w:numFmt w:val="decimal"/>
      <w:lvlText w:val="%1.%2.%3"/>
      <w:lvlJc w:val="left"/>
      <w:pPr>
        <w:ind w:left="1854" w:hanging="720"/>
      </w:pPr>
      <w:rPr>
        <w:rFonts w:hint="default"/>
        <w:color w:val="0D0D0D" w:themeColor="text1" w:themeTint="F2"/>
      </w:rPr>
    </w:lvl>
    <w:lvl w:ilvl="3">
      <w:start w:val="1"/>
      <w:numFmt w:val="decimal"/>
      <w:lvlText w:val="%1.%2.%3.%4"/>
      <w:lvlJc w:val="left"/>
      <w:pPr>
        <w:ind w:left="2421" w:hanging="720"/>
      </w:pPr>
      <w:rPr>
        <w:rFonts w:hint="default"/>
        <w:color w:val="0D0D0D" w:themeColor="text1" w:themeTint="F2"/>
      </w:rPr>
    </w:lvl>
    <w:lvl w:ilvl="4">
      <w:start w:val="1"/>
      <w:numFmt w:val="decimal"/>
      <w:lvlText w:val="%1.%2.%3.%4.%5"/>
      <w:lvlJc w:val="left"/>
      <w:pPr>
        <w:ind w:left="3348" w:hanging="1080"/>
      </w:pPr>
      <w:rPr>
        <w:rFonts w:hint="default"/>
        <w:color w:val="0D0D0D" w:themeColor="text1" w:themeTint="F2"/>
      </w:rPr>
    </w:lvl>
    <w:lvl w:ilvl="5">
      <w:start w:val="1"/>
      <w:numFmt w:val="decimal"/>
      <w:lvlText w:val="%1.%2.%3.%4.%5.%6"/>
      <w:lvlJc w:val="left"/>
      <w:pPr>
        <w:ind w:left="3915" w:hanging="1080"/>
      </w:pPr>
      <w:rPr>
        <w:rFonts w:hint="default"/>
        <w:color w:val="0D0D0D" w:themeColor="text1" w:themeTint="F2"/>
      </w:rPr>
    </w:lvl>
    <w:lvl w:ilvl="6">
      <w:start w:val="1"/>
      <w:numFmt w:val="decimal"/>
      <w:lvlText w:val="%1.%2.%3.%4.%5.%6.%7"/>
      <w:lvlJc w:val="left"/>
      <w:pPr>
        <w:ind w:left="4842" w:hanging="1440"/>
      </w:pPr>
      <w:rPr>
        <w:rFonts w:hint="default"/>
        <w:color w:val="0D0D0D" w:themeColor="text1" w:themeTint="F2"/>
      </w:rPr>
    </w:lvl>
    <w:lvl w:ilvl="7">
      <w:start w:val="1"/>
      <w:numFmt w:val="decimal"/>
      <w:lvlText w:val="%1.%2.%3.%4.%5.%6.%7.%8"/>
      <w:lvlJc w:val="left"/>
      <w:pPr>
        <w:ind w:left="5409" w:hanging="1440"/>
      </w:pPr>
      <w:rPr>
        <w:rFonts w:hint="default"/>
        <w:color w:val="0D0D0D" w:themeColor="text1" w:themeTint="F2"/>
      </w:rPr>
    </w:lvl>
    <w:lvl w:ilvl="8">
      <w:start w:val="1"/>
      <w:numFmt w:val="decimal"/>
      <w:lvlText w:val="%1.%2.%3.%4.%5.%6.%7.%8.%9"/>
      <w:lvlJc w:val="left"/>
      <w:pPr>
        <w:ind w:left="6336" w:hanging="1800"/>
      </w:pPr>
      <w:rPr>
        <w:rFonts w:hint="default"/>
        <w:color w:val="0D0D0D" w:themeColor="text1" w:themeTint="F2"/>
      </w:rPr>
    </w:lvl>
  </w:abstractNum>
  <w:abstractNum w:abstractNumId="28" w15:restartNumberingAfterBreak="0">
    <w:nsid w:val="252A64B7"/>
    <w:multiLevelType w:val="hybridMultilevel"/>
    <w:tmpl w:val="3D0A2A26"/>
    <w:lvl w:ilvl="0" w:tplc="4C40941C">
      <w:start w:val="1"/>
      <w:numFmt w:val="bullet"/>
      <w:lvlText w:val=""/>
      <w:lvlJc w:val="left"/>
      <w:pPr>
        <w:ind w:left="720" w:hanging="360"/>
      </w:pPr>
      <w:rPr>
        <w:rFonts w:ascii="Wingdings" w:hAnsi="Wingdings" w:hint="default"/>
      </w:rPr>
    </w:lvl>
    <w:lvl w:ilvl="1" w:tplc="A3382320">
      <w:start w:val="1"/>
      <w:numFmt w:val="bullet"/>
      <w:lvlText w:val="o"/>
      <w:lvlJc w:val="left"/>
      <w:pPr>
        <w:ind w:left="1440" w:hanging="360"/>
      </w:pPr>
      <w:rPr>
        <w:rFonts w:ascii="Courier New" w:hAnsi="Courier New" w:hint="default"/>
      </w:rPr>
    </w:lvl>
    <w:lvl w:ilvl="2" w:tplc="E86AD45E">
      <w:start w:val="1"/>
      <w:numFmt w:val="bullet"/>
      <w:lvlText w:val=""/>
      <w:lvlJc w:val="left"/>
      <w:pPr>
        <w:ind w:left="2160" w:hanging="360"/>
      </w:pPr>
      <w:rPr>
        <w:rFonts w:ascii="Wingdings" w:hAnsi="Wingdings" w:hint="default"/>
      </w:rPr>
    </w:lvl>
    <w:lvl w:ilvl="3" w:tplc="BC4AEE24">
      <w:start w:val="1"/>
      <w:numFmt w:val="bullet"/>
      <w:lvlText w:val=""/>
      <w:lvlJc w:val="left"/>
      <w:pPr>
        <w:ind w:left="2880" w:hanging="360"/>
      </w:pPr>
      <w:rPr>
        <w:rFonts w:ascii="Symbol" w:hAnsi="Symbol" w:hint="default"/>
      </w:rPr>
    </w:lvl>
    <w:lvl w:ilvl="4" w:tplc="7D301A20">
      <w:start w:val="1"/>
      <w:numFmt w:val="bullet"/>
      <w:lvlText w:val="o"/>
      <w:lvlJc w:val="left"/>
      <w:pPr>
        <w:ind w:left="3600" w:hanging="360"/>
      </w:pPr>
      <w:rPr>
        <w:rFonts w:ascii="Courier New" w:hAnsi="Courier New" w:hint="default"/>
      </w:rPr>
    </w:lvl>
    <w:lvl w:ilvl="5" w:tplc="8C78400C">
      <w:start w:val="1"/>
      <w:numFmt w:val="bullet"/>
      <w:lvlText w:val=""/>
      <w:lvlJc w:val="left"/>
      <w:pPr>
        <w:ind w:left="4320" w:hanging="360"/>
      </w:pPr>
      <w:rPr>
        <w:rFonts w:ascii="Wingdings" w:hAnsi="Wingdings" w:hint="default"/>
      </w:rPr>
    </w:lvl>
    <w:lvl w:ilvl="6" w:tplc="72A232DA">
      <w:start w:val="1"/>
      <w:numFmt w:val="bullet"/>
      <w:lvlText w:val=""/>
      <w:lvlJc w:val="left"/>
      <w:pPr>
        <w:ind w:left="5040" w:hanging="360"/>
      </w:pPr>
      <w:rPr>
        <w:rFonts w:ascii="Symbol" w:hAnsi="Symbol" w:hint="default"/>
      </w:rPr>
    </w:lvl>
    <w:lvl w:ilvl="7" w:tplc="34FAD47A">
      <w:start w:val="1"/>
      <w:numFmt w:val="bullet"/>
      <w:lvlText w:val="o"/>
      <w:lvlJc w:val="left"/>
      <w:pPr>
        <w:ind w:left="5760" w:hanging="360"/>
      </w:pPr>
      <w:rPr>
        <w:rFonts w:ascii="Courier New" w:hAnsi="Courier New" w:hint="default"/>
      </w:rPr>
    </w:lvl>
    <w:lvl w:ilvl="8" w:tplc="0B368E3E">
      <w:start w:val="1"/>
      <w:numFmt w:val="bullet"/>
      <w:lvlText w:val=""/>
      <w:lvlJc w:val="left"/>
      <w:pPr>
        <w:ind w:left="6480" w:hanging="360"/>
      </w:pPr>
      <w:rPr>
        <w:rFonts w:ascii="Wingdings" w:hAnsi="Wingdings" w:hint="default"/>
      </w:rPr>
    </w:lvl>
  </w:abstractNum>
  <w:abstractNum w:abstractNumId="29" w15:restartNumberingAfterBreak="0">
    <w:nsid w:val="28B02242"/>
    <w:multiLevelType w:val="hybridMultilevel"/>
    <w:tmpl w:val="304C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084B34"/>
    <w:multiLevelType w:val="hybridMultilevel"/>
    <w:tmpl w:val="B56E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927791"/>
    <w:multiLevelType w:val="hybridMultilevel"/>
    <w:tmpl w:val="6F9EA346"/>
    <w:lvl w:ilvl="0" w:tplc="A08EEFAE">
      <w:start w:val="3"/>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29EF77B5"/>
    <w:multiLevelType w:val="hybridMultilevel"/>
    <w:tmpl w:val="47A601DA"/>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33" w15:restartNumberingAfterBreak="0">
    <w:nsid w:val="29FC638F"/>
    <w:multiLevelType w:val="hybridMultilevel"/>
    <w:tmpl w:val="F106169C"/>
    <w:lvl w:ilvl="0" w:tplc="9C74A31A">
      <w:start w:val="1"/>
      <w:numFmt w:val="bullet"/>
      <w:lvlText w:val=""/>
      <w:lvlJc w:val="left"/>
      <w:pPr>
        <w:ind w:left="1176" w:hanging="360"/>
      </w:pPr>
      <w:rPr>
        <w:rFonts w:ascii="Wingdings" w:hAnsi="Wingdings" w:hint="default"/>
        <w:color w:val="auto"/>
      </w:rPr>
    </w:lvl>
    <w:lvl w:ilvl="1" w:tplc="18090003" w:tentative="1">
      <w:start w:val="1"/>
      <w:numFmt w:val="bullet"/>
      <w:lvlText w:val="o"/>
      <w:lvlJc w:val="left"/>
      <w:pPr>
        <w:ind w:left="1896" w:hanging="360"/>
      </w:pPr>
      <w:rPr>
        <w:rFonts w:ascii="Courier New" w:hAnsi="Courier New" w:cs="Courier New" w:hint="default"/>
      </w:rPr>
    </w:lvl>
    <w:lvl w:ilvl="2" w:tplc="18090005" w:tentative="1">
      <w:start w:val="1"/>
      <w:numFmt w:val="bullet"/>
      <w:lvlText w:val=""/>
      <w:lvlJc w:val="left"/>
      <w:pPr>
        <w:ind w:left="2616" w:hanging="360"/>
      </w:pPr>
      <w:rPr>
        <w:rFonts w:ascii="Wingdings" w:hAnsi="Wingdings" w:hint="default"/>
      </w:rPr>
    </w:lvl>
    <w:lvl w:ilvl="3" w:tplc="18090001" w:tentative="1">
      <w:start w:val="1"/>
      <w:numFmt w:val="bullet"/>
      <w:lvlText w:val=""/>
      <w:lvlJc w:val="left"/>
      <w:pPr>
        <w:ind w:left="3336" w:hanging="360"/>
      </w:pPr>
      <w:rPr>
        <w:rFonts w:ascii="Symbol" w:hAnsi="Symbol" w:hint="default"/>
      </w:rPr>
    </w:lvl>
    <w:lvl w:ilvl="4" w:tplc="18090003" w:tentative="1">
      <w:start w:val="1"/>
      <w:numFmt w:val="bullet"/>
      <w:lvlText w:val="o"/>
      <w:lvlJc w:val="left"/>
      <w:pPr>
        <w:ind w:left="4056" w:hanging="360"/>
      </w:pPr>
      <w:rPr>
        <w:rFonts w:ascii="Courier New" w:hAnsi="Courier New" w:cs="Courier New" w:hint="default"/>
      </w:rPr>
    </w:lvl>
    <w:lvl w:ilvl="5" w:tplc="18090005" w:tentative="1">
      <w:start w:val="1"/>
      <w:numFmt w:val="bullet"/>
      <w:lvlText w:val=""/>
      <w:lvlJc w:val="left"/>
      <w:pPr>
        <w:ind w:left="4776" w:hanging="360"/>
      </w:pPr>
      <w:rPr>
        <w:rFonts w:ascii="Wingdings" w:hAnsi="Wingdings" w:hint="default"/>
      </w:rPr>
    </w:lvl>
    <w:lvl w:ilvl="6" w:tplc="18090001" w:tentative="1">
      <w:start w:val="1"/>
      <w:numFmt w:val="bullet"/>
      <w:lvlText w:val=""/>
      <w:lvlJc w:val="left"/>
      <w:pPr>
        <w:ind w:left="5496" w:hanging="360"/>
      </w:pPr>
      <w:rPr>
        <w:rFonts w:ascii="Symbol" w:hAnsi="Symbol" w:hint="default"/>
      </w:rPr>
    </w:lvl>
    <w:lvl w:ilvl="7" w:tplc="18090003" w:tentative="1">
      <w:start w:val="1"/>
      <w:numFmt w:val="bullet"/>
      <w:lvlText w:val="o"/>
      <w:lvlJc w:val="left"/>
      <w:pPr>
        <w:ind w:left="6216" w:hanging="360"/>
      </w:pPr>
      <w:rPr>
        <w:rFonts w:ascii="Courier New" w:hAnsi="Courier New" w:cs="Courier New" w:hint="default"/>
      </w:rPr>
    </w:lvl>
    <w:lvl w:ilvl="8" w:tplc="18090005" w:tentative="1">
      <w:start w:val="1"/>
      <w:numFmt w:val="bullet"/>
      <w:lvlText w:val=""/>
      <w:lvlJc w:val="left"/>
      <w:pPr>
        <w:ind w:left="6936" w:hanging="360"/>
      </w:pPr>
      <w:rPr>
        <w:rFonts w:ascii="Wingdings" w:hAnsi="Wingdings" w:hint="default"/>
      </w:rPr>
    </w:lvl>
  </w:abstractNum>
  <w:abstractNum w:abstractNumId="34" w15:restartNumberingAfterBreak="0">
    <w:nsid w:val="2AC16E60"/>
    <w:multiLevelType w:val="hybridMultilevel"/>
    <w:tmpl w:val="5D2E0B7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B6443D5"/>
    <w:multiLevelType w:val="hybridMultilevel"/>
    <w:tmpl w:val="186AE80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CA6131F"/>
    <w:multiLevelType w:val="hybridMultilevel"/>
    <w:tmpl w:val="8FEE4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16D5278"/>
    <w:multiLevelType w:val="hybridMultilevel"/>
    <w:tmpl w:val="D45AFC5E"/>
    <w:name w:val="List Number 2__1"/>
    <w:lvl w:ilvl="0" w:tplc="1096906E">
      <w:start w:val="1"/>
      <w:numFmt w:val="decimal"/>
      <w:pStyle w:val="ListNumber2"/>
      <w:lvlText w:val="(%1)"/>
      <w:lvlJc w:val="left"/>
      <w:pPr>
        <w:tabs>
          <w:tab w:val="num" w:pos="1560"/>
        </w:tabs>
        <w:ind w:left="1560" w:hanging="709"/>
      </w:pPr>
      <w:rPr>
        <w:rFonts w:cs="Times New Roman"/>
      </w:rPr>
    </w:lvl>
    <w:lvl w:ilvl="1" w:tplc="5AA4D41A">
      <w:start w:val="1"/>
      <w:numFmt w:val="lowerLetter"/>
      <w:pStyle w:val="ListNumber2Level2"/>
      <w:lvlText w:val="(%2)"/>
      <w:lvlJc w:val="left"/>
      <w:pPr>
        <w:tabs>
          <w:tab w:val="num" w:pos="2268"/>
        </w:tabs>
        <w:ind w:left="2268" w:hanging="708"/>
      </w:pPr>
      <w:rPr>
        <w:rFonts w:cs="Times New Roman"/>
      </w:rPr>
    </w:lvl>
    <w:lvl w:ilvl="2" w:tplc="95986C5C">
      <w:start w:val="1"/>
      <w:numFmt w:val="bullet"/>
      <w:pStyle w:val="ListNumber2Level3"/>
      <w:lvlText w:val="–"/>
      <w:lvlJc w:val="left"/>
      <w:pPr>
        <w:tabs>
          <w:tab w:val="num" w:pos="2977"/>
        </w:tabs>
        <w:ind w:left="2977" w:hanging="709"/>
      </w:pPr>
      <w:rPr>
        <w:rFonts w:ascii="Times New Roman" w:hAnsi="Times New Roman"/>
      </w:rPr>
    </w:lvl>
    <w:lvl w:ilvl="3" w:tplc="8D743EC2">
      <w:start w:val="1"/>
      <w:numFmt w:val="bullet"/>
      <w:pStyle w:val="ListNumber2Level4"/>
      <w:lvlText w:val=""/>
      <w:lvlJc w:val="left"/>
      <w:pPr>
        <w:tabs>
          <w:tab w:val="num" w:pos="3686"/>
        </w:tabs>
        <w:ind w:left="3686" w:hanging="709"/>
      </w:pPr>
      <w:rPr>
        <w:rFonts w:ascii="Symbol" w:hAnsi="Symbol" w:hint="default"/>
      </w:rPr>
    </w:lvl>
    <w:lvl w:ilvl="4" w:tplc="EC366EE4">
      <w:start w:val="1"/>
      <w:numFmt w:val="lowerLetter"/>
      <w:lvlText w:val="(%5)"/>
      <w:lvlJc w:val="left"/>
      <w:pPr>
        <w:tabs>
          <w:tab w:val="num" w:pos="1800"/>
        </w:tabs>
        <w:ind w:left="1800" w:hanging="360"/>
      </w:pPr>
      <w:rPr>
        <w:rFonts w:cs="Times New Roman"/>
      </w:rPr>
    </w:lvl>
    <w:lvl w:ilvl="5" w:tplc="AE208EFE">
      <w:start w:val="1"/>
      <w:numFmt w:val="lowerRoman"/>
      <w:lvlText w:val="(%6)"/>
      <w:lvlJc w:val="left"/>
      <w:pPr>
        <w:tabs>
          <w:tab w:val="num" w:pos="2160"/>
        </w:tabs>
        <w:ind w:left="2160" w:hanging="360"/>
      </w:pPr>
      <w:rPr>
        <w:rFonts w:cs="Times New Roman"/>
      </w:rPr>
    </w:lvl>
    <w:lvl w:ilvl="6" w:tplc="1AFA425A">
      <w:start w:val="1"/>
      <w:numFmt w:val="decimal"/>
      <w:lvlText w:val="%7."/>
      <w:lvlJc w:val="left"/>
      <w:pPr>
        <w:tabs>
          <w:tab w:val="num" w:pos="2520"/>
        </w:tabs>
        <w:ind w:left="2520" w:hanging="360"/>
      </w:pPr>
      <w:rPr>
        <w:rFonts w:cs="Times New Roman"/>
      </w:rPr>
    </w:lvl>
    <w:lvl w:ilvl="7" w:tplc="06320F60">
      <w:start w:val="1"/>
      <w:numFmt w:val="lowerLetter"/>
      <w:lvlText w:val="%8."/>
      <w:lvlJc w:val="left"/>
      <w:pPr>
        <w:tabs>
          <w:tab w:val="num" w:pos="2880"/>
        </w:tabs>
        <w:ind w:left="2880" w:hanging="360"/>
      </w:pPr>
      <w:rPr>
        <w:rFonts w:cs="Times New Roman"/>
      </w:rPr>
    </w:lvl>
    <w:lvl w:ilvl="8" w:tplc="34EA71AE">
      <w:start w:val="1"/>
      <w:numFmt w:val="lowerRoman"/>
      <w:lvlText w:val="%9."/>
      <w:lvlJc w:val="left"/>
      <w:pPr>
        <w:tabs>
          <w:tab w:val="num" w:pos="3240"/>
        </w:tabs>
        <w:ind w:left="3240" w:hanging="360"/>
      </w:pPr>
      <w:rPr>
        <w:rFonts w:cs="Times New Roman"/>
      </w:rPr>
    </w:lvl>
  </w:abstractNum>
  <w:abstractNum w:abstractNumId="38" w15:restartNumberingAfterBreak="0">
    <w:nsid w:val="320075D6"/>
    <w:multiLevelType w:val="hybridMultilevel"/>
    <w:tmpl w:val="D766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4A43E8"/>
    <w:multiLevelType w:val="hybridMultilevel"/>
    <w:tmpl w:val="D43A6B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35FF3360"/>
    <w:multiLevelType w:val="hybridMultilevel"/>
    <w:tmpl w:val="85520330"/>
    <w:lvl w:ilvl="0" w:tplc="C60C4A52">
      <w:start w:val="1"/>
      <w:numFmt w:val="bullet"/>
      <w:lvlText w:val="•"/>
      <w:lvlJc w:val="left"/>
      <w:pPr>
        <w:tabs>
          <w:tab w:val="num" w:pos="1080"/>
        </w:tabs>
        <w:ind w:left="1080" w:hanging="360"/>
      </w:pPr>
      <w:rPr>
        <w:rFonts w:ascii="Arial" w:hAnsi="Arial" w:hint="default"/>
        <w:color w:val="auto"/>
        <w:lang w:val="en-IE"/>
      </w:rPr>
    </w:lvl>
    <w:lvl w:ilvl="1" w:tplc="51EAD7F8">
      <w:start w:val="1"/>
      <w:numFmt w:val="bullet"/>
      <w:lvlText w:val="•"/>
      <w:lvlJc w:val="left"/>
      <w:pPr>
        <w:tabs>
          <w:tab w:val="num" w:pos="1800"/>
        </w:tabs>
        <w:ind w:left="1800" w:hanging="360"/>
      </w:pPr>
      <w:rPr>
        <w:rFonts w:ascii="Arial" w:hAnsi="Arial" w:hint="default"/>
      </w:rPr>
    </w:lvl>
    <w:lvl w:ilvl="2" w:tplc="0672BF76" w:tentative="1">
      <w:start w:val="1"/>
      <w:numFmt w:val="bullet"/>
      <w:lvlText w:val="•"/>
      <w:lvlJc w:val="left"/>
      <w:pPr>
        <w:tabs>
          <w:tab w:val="num" w:pos="2520"/>
        </w:tabs>
        <w:ind w:left="2520" w:hanging="360"/>
      </w:pPr>
      <w:rPr>
        <w:rFonts w:ascii="Arial" w:hAnsi="Arial" w:hint="default"/>
      </w:rPr>
    </w:lvl>
    <w:lvl w:ilvl="3" w:tplc="A9B04DC6" w:tentative="1">
      <w:start w:val="1"/>
      <w:numFmt w:val="bullet"/>
      <w:lvlText w:val="•"/>
      <w:lvlJc w:val="left"/>
      <w:pPr>
        <w:tabs>
          <w:tab w:val="num" w:pos="3240"/>
        </w:tabs>
        <w:ind w:left="3240" w:hanging="360"/>
      </w:pPr>
      <w:rPr>
        <w:rFonts w:ascii="Arial" w:hAnsi="Arial" w:hint="default"/>
      </w:rPr>
    </w:lvl>
    <w:lvl w:ilvl="4" w:tplc="38662B52" w:tentative="1">
      <w:start w:val="1"/>
      <w:numFmt w:val="bullet"/>
      <w:lvlText w:val="•"/>
      <w:lvlJc w:val="left"/>
      <w:pPr>
        <w:tabs>
          <w:tab w:val="num" w:pos="3960"/>
        </w:tabs>
        <w:ind w:left="3960" w:hanging="360"/>
      </w:pPr>
      <w:rPr>
        <w:rFonts w:ascii="Arial" w:hAnsi="Arial" w:hint="default"/>
      </w:rPr>
    </w:lvl>
    <w:lvl w:ilvl="5" w:tplc="39B409DC" w:tentative="1">
      <w:start w:val="1"/>
      <w:numFmt w:val="bullet"/>
      <w:lvlText w:val="•"/>
      <w:lvlJc w:val="left"/>
      <w:pPr>
        <w:tabs>
          <w:tab w:val="num" w:pos="4680"/>
        </w:tabs>
        <w:ind w:left="4680" w:hanging="360"/>
      </w:pPr>
      <w:rPr>
        <w:rFonts w:ascii="Arial" w:hAnsi="Arial" w:hint="default"/>
      </w:rPr>
    </w:lvl>
    <w:lvl w:ilvl="6" w:tplc="B88C54C6" w:tentative="1">
      <w:start w:val="1"/>
      <w:numFmt w:val="bullet"/>
      <w:lvlText w:val="•"/>
      <w:lvlJc w:val="left"/>
      <w:pPr>
        <w:tabs>
          <w:tab w:val="num" w:pos="5400"/>
        </w:tabs>
        <w:ind w:left="5400" w:hanging="360"/>
      </w:pPr>
      <w:rPr>
        <w:rFonts w:ascii="Arial" w:hAnsi="Arial" w:hint="default"/>
      </w:rPr>
    </w:lvl>
    <w:lvl w:ilvl="7" w:tplc="A17CAF16" w:tentative="1">
      <w:start w:val="1"/>
      <w:numFmt w:val="bullet"/>
      <w:lvlText w:val="•"/>
      <w:lvlJc w:val="left"/>
      <w:pPr>
        <w:tabs>
          <w:tab w:val="num" w:pos="6120"/>
        </w:tabs>
        <w:ind w:left="6120" w:hanging="360"/>
      </w:pPr>
      <w:rPr>
        <w:rFonts w:ascii="Arial" w:hAnsi="Arial" w:hint="default"/>
      </w:rPr>
    </w:lvl>
    <w:lvl w:ilvl="8" w:tplc="4C8CF550" w:tentative="1">
      <w:start w:val="1"/>
      <w:numFmt w:val="bullet"/>
      <w:lvlText w:val="•"/>
      <w:lvlJc w:val="left"/>
      <w:pPr>
        <w:tabs>
          <w:tab w:val="num" w:pos="6840"/>
        </w:tabs>
        <w:ind w:left="6840" w:hanging="360"/>
      </w:pPr>
      <w:rPr>
        <w:rFonts w:ascii="Arial" w:hAnsi="Arial" w:hint="default"/>
      </w:rPr>
    </w:lvl>
  </w:abstractNum>
  <w:abstractNum w:abstractNumId="41" w15:restartNumberingAfterBreak="0">
    <w:nsid w:val="36367923"/>
    <w:multiLevelType w:val="hybridMultilevel"/>
    <w:tmpl w:val="060C363C"/>
    <w:lvl w:ilvl="0" w:tplc="EE1E8866">
      <w:start w:val="1"/>
      <w:numFmt w:val="decimal"/>
      <w:lvlText w:val="%1."/>
      <w:lvlJc w:val="left"/>
      <w:pPr>
        <w:ind w:left="720" w:hanging="360"/>
      </w:pPr>
    </w:lvl>
    <w:lvl w:ilvl="1" w:tplc="1B72309E">
      <w:start w:val="1"/>
      <w:numFmt w:val="lowerLetter"/>
      <w:lvlText w:val="%2."/>
      <w:lvlJc w:val="left"/>
      <w:pPr>
        <w:ind w:left="1440" w:hanging="360"/>
      </w:pPr>
    </w:lvl>
    <w:lvl w:ilvl="2" w:tplc="A26E0874">
      <w:start w:val="1"/>
      <w:numFmt w:val="lowerRoman"/>
      <w:lvlText w:val="%3."/>
      <w:lvlJc w:val="right"/>
      <w:pPr>
        <w:ind w:left="2160" w:hanging="180"/>
      </w:pPr>
    </w:lvl>
    <w:lvl w:ilvl="3" w:tplc="C0366DB8">
      <w:start w:val="1"/>
      <w:numFmt w:val="decimal"/>
      <w:lvlText w:val="%4."/>
      <w:lvlJc w:val="left"/>
      <w:pPr>
        <w:ind w:left="2880" w:hanging="360"/>
      </w:pPr>
    </w:lvl>
    <w:lvl w:ilvl="4" w:tplc="88940C2E">
      <w:start w:val="1"/>
      <w:numFmt w:val="lowerLetter"/>
      <w:lvlText w:val="%5."/>
      <w:lvlJc w:val="left"/>
      <w:pPr>
        <w:ind w:left="3600" w:hanging="360"/>
      </w:pPr>
    </w:lvl>
    <w:lvl w:ilvl="5" w:tplc="93222540">
      <w:start w:val="1"/>
      <w:numFmt w:val="lowerRoman"/>
      <w:lvlText w:val="%6."/>
      <w:lvlJc w:val="right"/>
      <w:pPr>
        <w:ind w:left="4320" w:hanging="180"/>
      </w:pPr>
    </w:lvl>
    <w:lvl w:ilvl="6" w:tplc="5A584742">
      <w:start w:val="1"/>
      <w:numFmt w:val="decimal"/>
      <w:lvlText w:val="%7."/>
      <w:lvlJc w:val="left"/>
      <w:pPr>
        <w:ind w:left="5040" w:hanging="360"/>
      </w:pPr>
    </w:lvl>
    <w:lvl w:ilvl="7" w:tplc="36667520">
      <w:start w:val="1"/>
      <w:numFmt w:val="lowerLetter"/>
      <w:lvlText w:val="%8."/>
      <w:lvlJc w:val="left"/>
      <w:pPr>
        <w:ind w:left="5760" w:hanging="360"/>
      </w:pPr>
    </w:lvl>
    <w:lvl w:ilvl="8" w:tplc="E2825B3C">
      <w:start w:val="1"/>
      <w:numFmt w:val="lowerRoman"/>
      <w:lvlText w:val="%9."/>
      <w:lvlJc w:val="right"/>
      <w:pPr>
        <w:ind w:left="6480" w:hanging="180"/>
      </w:pPr>
    </w:lvl>
  </w:abstractNum>
  <w:abstractNum w:abstractNumId="42" w15:restartNumberingAfterBreak="0">
    <w:nsid w:val="378D6A5D"/>
    <w:multiLevelType w:val="hybridMultilevel"/>
    <w:tmpl w:val="ACFE3520"/>
    <w:lvl w:ilvl="0" w:tplc="7A26AA04">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9F6195"/>
    <w:multiLevelType w:val="hybridMultilevel"/>
    <w:tmpl w:val="CED2EA30"/>
    <w:lvl w:ilvl="0" w:tplc="0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38C941B7"/>
    <w:multiLevelType w:val="hybridMultilevel"/>
    <w:tmpl w:val="7632EA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9E073D3"/>
    <w:multiLevelType w:val="multilevel"/>
    <w:tmpl w:val="8EE8F492"/>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3A1324D5"/>
    <w:multiLevelType w:val="hybridMultilevel"/>
    <w:tmpl w:val="6FBCE8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BE626BB"/>
    <w:multiLevelType w:val="hybridMultilevel"/>
    <w:tmpl w:val="3620F794"/>
    <w:lvl w:ilvl="0" w:tplc="7A5A5A4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A27672"/>
    <w:multiLevelType w:val="hybridMultilevel"/>
    <w:tmpl w:val="AD6C7CC4"/>
    <w:lvl w:ilvl="0" w:tplc="FFFFFFFF">
      <w:start w:val="1"/>
      <w:numFmt w:val="bullet"/>
      <w:lvlText w:val=""/>
      <w:lvlJc w:val="left"/>
      <w:pPr>
        <w:ind w:left="720" w:hanging="360"/>
      </w:pPr>
      <w:rPr>
        <w:rFonts w:ascii="Wingdings" w:hAnsi="Wingdings" w:hint="default"/>
      </w:rPr>
    </w:lvl>
    <w:lvl w:ilvl="1" w:tplc="1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0B64671"/>
    <w:multiLevelType w:val="hybridMultilevel"/>
    <w:tmpl w:val="655C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3B2692"/>
    <w:multiLevelType w:val="multilevel"/>
    <w:tmpl w:val="C69AA084"/>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3776CB9"/>
    <w:multiLevelType w:val="hybridMultilevel"/>
    <w:tmpl w:val="A5D2E8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52720A3"/>
    <w:multiLevelType w:val="hybridMultilevel"/>
    <w:tmpl w:val="F2D0D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811712"/>
    <w:multiLevelType w:val="hybridMultilevel"/>
    <w:tmpl w:val="75909D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46393231"/>
    <w:multiLevelType w:val="multilevel"/>
    <w:tmpl w:val="B42A2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48702A17"/>
    <w:multiLevelType w:val="hybridMultilevel"/>
    <w:tmpl w:val="BDBA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D8B13B7"/>
    <w:multiLevelType w:val="hybridMultilevel"/>
    <w:tmpl w:val="F70401D4"/>
    <w:lvl w:ilvl="0" w:tplc="7A5A5A4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C47153"/>
    <w:multiLevelType w:val="hybridMultilevel"/>
    <w:tmpl w:val="1CC046D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056483F"/>
    <w:multiLevelType w:val="hybridMultilevel"/>
    <w:tmpl w:val="6E86670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9" w15:restartNumberingAfterBreak="0">
    <w:nsid w:val="50DE199B"/>
    <w:multiLevelType w:val="hybridMultilevel"/>
    <w:tmpl w:val="1F80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23A3EF5"/>
    <w:multiLevelType w:val="multilevel"/>
    <w:tmpl w:val="1E12E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546287"/>
    <w:multiLevelType w:val="hybridMultilevel"/>
    <w:tmpl w:val="F138B458"/>
    <w:lvl w:ilvl="0" w:tplc="0809000B">
      <w:start w:val="1"/>
      <w:numFmt w:val="bullet"/>
      <w:lvlText w:val=""/>
      <w:lvlJc w:val="left"/>
      <w:pPr>
        <w:ind w:left="720" w:hanging="360"/>
      </w:pPr>
      <w:rPr>
        <w:rFonts w:ascii="Wingdings" w:hAnsi="Wingding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A91605"/>
    <w:multiLevelType w:val="hybridMultilevel"/>
    <w:tmpl w:val="F2286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8EF1AA9"/>
    <w:multiLevelType w:val="hybridMultilevel"/>
    <w:tmpl w:val="FA74E5A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5A565D3A"/>
    <w:multiLevelType w:val="hybridMultilevel"/>
    <w:tmpl w:val="6734A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5CCB2AEB"/>
    <w:multiLevelType w:val="multilevel"/>
    <w:tmpl w:val="4EE4F104"/>
    <w:lvl w:ilvl="0">
      <w:start w:val="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5D4B4159"/>
    <w:multiLevelType w:val="hybridMultilevel"/>
    <w:tmpl w:val="C2688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5D9725E8"/>
    <w:multiLevelType w:val="multilevel"/>
    <w:tmpl w:val="1E065536"/>
    <w:lvl w:ilvl="0">
      <w:start w:val="1"/>
      <w:numFmt w:val="decimal"/>
      <w:pStyle w:val="Heading1"/>
      <w:lvlText w:val="%1."/>
      <w:lvlJc w:val="left"/>
      <w:pPr>
        <w:ind w:left="360" w:hanging="360"/>
      </w:pPr>
      <w:rPr>
        <w:color w:val="auto"/>
        <w:sz w:val="24"/>
      </w:rPr>
    </w:lvl>
    <w:lvl w:ilvl="1">
      <w:start w:val="1"/>
      <w:numFmt w:val="decimal"/>
      <w:lvlText w:val="%1.%2."/>
      <w:lvlJc w:val="left"/>
      <w:pPr>
        <w:ind w:left="792" w:hanging="432"/>
      </w:p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D9B5187"/>
    <w:multiLevelType w:val="hybridMultilevel"/>
    <w:tmpl w:val="F8A20628"/>
    <w:lvl w:ilvl="0" w:tplc="4C409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F917A70"/>
    <w:multiLevelType w:val="multilevel"/>
    <w:tmpl w:val="C97669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600A276A"/>
    <w:multiLevelType w:val="hybridMultilevel"/>
    <w:tmpl w:val="E318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CE3D24"/>
    <w:multiLevelType w:val="hybridMultilevel"/>
    <w:tmpl w:val="C138048E"/>
    <w:lvl w:ilvl="0" w:tplc="949A721E">
      <w:start w:val="1"/>
      <w:numFmt w:val="bullet"/>
      <w:lvlText w:val="-"/>
      <w:lvlJc w:val="left"/>
      <w:pPr>
        <w:ind w:left="720" w:hanging="360"/>
      </w:pPr>
      <w:rPr>
        <w:rFonts w:ascii="Times New Roman" w:eastAsia="Times New Roman" w:hAnsi="Times New Roman" w:cs="Times New Roman" w:hint="default"/>
        <w:b/>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C01264"/>
    <w:multiLevelType w:val="hybridMultilevel"/>
    <w:tmpl w:val="6A3601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65203DB8"/>
    <w:multiLevelType w:val="hybridMultilevel"/>
    <w:tmpl w:val="94703A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7AA2A6B"/>
    <w:multiLevelType w:val="hybridMultilevel"/>
    <w:tmpl w:val="1EA4D39A"/>
    <w:lvl w:ilvl="0" w:tplc="73F29A84">
      <w:start w:val="1"/>
      <w:numFmt w:val="decimal"/>
      <w:lvlText w:val="%1."/>
      <w:lvlJc w:val="left"/>
      <w:pPr>
        <w:ind w:left="720" w:hanging="360"/>
      </w:pPr>
    </w:lvl>
    <w:lvl w:ilvl="1" w:tplc="53A0906C">
      <w:start w:val="1"/>
      <w:numFmt w:val="lowerLetter"/>
      <w:lvlText w:val="%2."/>
      <w:lvlJc w:val="left"/>
      <w:pPr>
        <w:ind w:left="1440" w:hanging="360"/>
      </w:pPr>
    </w:lvl>
    <w:lvl w:ilvl="2" w:tplc="0344C872">
      <w:start w:val="1"/>
      <w:numFmt w:val="lowerRoman"/>
      <w:lvlText w:val="%3."/>
      <w:lvlJc w:val="right"/>
      <w:pPr>
        <w:ind w:left="2160" w:hanging="180"/>
      </w:pPr>
    </w:lvl>
    <w:lvl w:ilvl="3" w:tplc="5D6A2A34">
      <w:start w:val="1"/>
      <w:numFmt w:val="decimal"/>
      <w:lvlText w:val="%4."/>
      <w:lvlJc w:val="left"/>
      <w:pPr>
        <w:ind w:left="2880" w:hanging="360"/>
      </w:pPr>
    </w:lvl>
    <w:lvl w:ilvl="4" w:tplc="9BD4A38E">
      <w:start w:val="1"/>
      <w:numFmt w:val="lowerLetter"/>
      <w:lvlText w:val="%5."/>
      <w:lvlJc w:val="left"/>
      <w:pPr>
        <w:ind w:left="3600" w:hanging="360"/>
      </w:pPr>
    </w:lvl>
    <w:lvl w:ilvl="5" w:tplc="22A2E5EC">
      <w:start w:val="1"/>
      <w:numFmt w:val="lowerRoman"/>
      <w:lvlText w:val="%6."/>
      <w:lvlJc w:val="right"/>
      <w:pPr>
        <w:ind w:left="4320" w:hanging="180"/>
      </w:pPr>
    </w:lvl>
    <w:lvl w:ilvl="6" w:tplc="225A3352">
      <w:start w:val="1"/>
      <w:numFmt w:val="decimal"/>
      <w:lvlText w:val="%7."/>
      <w:lvlJc w:val="left"/>
      <w:pPr>
        <w:ind w:left="5040" w:hanging="360"/>
      </w:pPr>
    </w:lvl>
    <w:lvl w:ilvl="7" w:tplc="16D688AC">
      <w:start w:val="1"/>
      <w:numFmt w:val="lowerLetter"/>
      <w:lvlText w:val="%8."/>
      <w:lvlJc w:val="left"/>
      <w:pPr>
        <w:ind w:left="5760" w:hanging="360"/>
      </w:pPr>
    </w:lvl>
    <w:lvl w:ilvl="8" w:tplc="D5F8194A">
      <w:start w:val="1"/>
      <w:numFmt w:val="lowerRoman"/>
      <w:lvlText w:val="%9."/>
      <w:lvlJc w:val="right"/>
      <w:pPr>
        <w:ind w:left="6480" w:hanging="180"/>
      </w:pPr>
    </w:lvl>
  </w:abstractNum>
  <w:abstractNum w:abstractNumId="75" w15:restartNumberingAfterBreak="0">
    <w:nsid w:val="69EA064D"/>
    <w:multiLevelType w:val="hybridMultilevel"/>
    <w:tmpl w:val="56B00A46"/>
    <w:lvl w:ilvl="0" w:tplc="7A5A5A44">
      <w:numFmt w:val="bullet"/>
      <w:lvlText w:val="-"/>
      <w:lvlJc w:val="left"/>
      <w:pPr>
        <w:ind w:left="107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7B1787"/>
    <w:multiLevelType w:val="hybridMultilevel"/>
    <w:tmpl w:val="79DA23A4"/>
    <w:lvl w:ilvl="0" w:tplc="7A5A5A4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BB957B0"/>
    <w:multiLevelType w:val="hybridMultilevel"/>
    <w:tmpl w:val="641CF35A"/>
    <w:lvl w:ilvl="0" w:tplc="0809000D">
      <w:start w:val="1"/>
      <w:numFmt w:val="bullet"/>
      <w:lvlText w:val=""/>
      <w:lvlJc w:val="left"/>
      <w:pPr>
        <w:ind w:left="720" w:hanging="360"/>
      </w:pPr>
      <w:rPr>
        <w:rFonts w:ascii="Wingdings" w:hAnsi="Wingdings" w:hint="default"/>
      </w:rPr>
    </w:lvl>
    <w:lvl w:ilvl="1" w:tplc="53A0906C">
      <w:start w:val="1"/>
      <w:numFmt w:val="lowerLetter"/>
      <w:lvlText w:val="%2."/>
      <w:lvlJc w:val="left"/>
      <w:pPr>
        <w:ind w:left="1440" w:hanging="360"/>
      </w:pPr>
    </w:lvl>
    <w:lvl w:ilvl="2" w:tplc="0344C872">
      <w:start w:val="1"/>
      <w:numFmt w:val="lowerRoman"/>
      <w:lvlText w:val="%3."/>
      <w:lvlJc w:val="right"/>
      <w:pPr>
        <w:ind w:left="2160" w:hanging="180"/>
      </w:pPr>
    </w:lvl>
    <w:lvl w:ilvl="3" w:tplc="5D6A2A34">
      <w:start w:val="1"/>
      <w:numFmt w:val="decimal"/>
      <w:lvlText w:val="%4."/>
      <w:lvlJc w:val="left"/>
      <w:pPr>
        <w:ind w:left="2880" w:hanging="360"/>
      </w:pPr>
    </w:lvl>
    <w:lvl w:ilvl="4" w:tplc="9BD4A38E">
      <w:start w:val="1"/>
      <w:numFmt w:val="lowerLetter"/>
      <w:lvlText w:val="%5."/>
      <w:lvlJc w:val="left"/>
      <w:pPr>
        <w:ind w:left="3600" w:hanging="360"/>
      </w:pPr>
    </w:lvl>
    <w:lvl w:ilvl="5" w:tplc="22A2E5EC">
      <w:start w:val="1"/>
      <w:numFmt w:val="lowerRoman"/>
      <w:lvlText w:val="%6."/>
      <w:lvlJc w:val="right"/>
      <w:pPr>
        <w:ind w:left="4320" w:hanging="180"/>
      </w:pPr>
    </w:lvl>
    <w:lvl w:ilvl="6" w:tplc="225A3352">
      <w:start w:val="1"/>
      <w:numFmt w:val="decimal"/>
      <w:lvlText w:val="%7."/>
      <w:lvlJc w:val="left"/>
      <w:pPr>
        <w:ind w:left="5040" w:hanging="360"/>
      </w:pPr>
    </w:lvl>
    <w:lvl w:ilvl="7" w:tplc="16D688AC">
      <w:start w:val="1"/>
      <w:numFmt w:val="lowerLetter"/>
      <w:lvlText w:val="%8."/>
      <w:lvlJc w:val="left"/>
      <w:pPr>
        <w:ind w:left="5760" w:hanging="360"/>
      </w:pPr>
    </w:lvl>
    <w:lvl w:ilvl="8" w:tplc="D5F8194A">
      <w:start w:val="1"/>
      <w:numFmt w:val="lowerRoman"/>
      <w:lvlText w:val="%9."/>
      <w:lvlJc w:val="right"/>
      <w:pPr>
        <w:ind w:left="6480" w:hanging="180"/>
      </w:pPr>
    </w:lvl>
  </w:abstractNum>
  <w:abstractNum w:abstractNumId="78" w15:restartNumberingAfterBreak="0">
    <w:nsid w:val="6E004541"/>
    <w:multiLevelType w:val="multilevel"/>
    <w:tmpl w:val="F232EA6C"/>
    <w:lvl w:ilvl="0">
      <w:start w:val="5"/>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ED3589F"/>
    <w:multiLevelType w:val="hybridMultilevel"/>
    <w:tmpl w:val="155A630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F88126C"/>
    <w:multiLevelType w:val="hybridMultilevel"/>
    <w:tmpl w:val="C95202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1" w15:restartNumberingAfterBreak="0">
    <w:nsid w:val="6F945165"/>
    <w:multiLevelType w:val="hybridMultilevel"/>
    <w:tmpl w:val="6F1E4072"/>
    <w:lvl w:ilvl="0" w:tplc="8410D3A8">
      <w:start w:val="1"/>
      <w:numFmt w:val="bullet"/>
      <w:lvlText w:val="-"/>
      <w:lvlJc w:val="left"/>
      <w:pPr>
        <w:ind w:left="1494"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B86499"/>
    <w:multiLevelType w:val="hybridMultilevel"/>
    <w:tmpl w:val="FB4EA74E"/>
    <w:lvl w:ilvl="0" w:tplc="7A5A5A4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36708A2"/>
    <w:multiLevelType w:val="hybridMultilevel"/>
    <w:tmpl w:val="BCF2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7929CC"/>
    <w:multiLevelType w:val="hybridMultilevel"/>
    <w:tmpl w:val="5C42C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E41C7D"/>
    <w:multiLevelType w:val="hybridMultilevel"/>
    <w:tmpl w:val="2CC27C18"/>
    <w:lvl w:ilvl="0" w:tplc="12F2116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FF31B0"/>
    <w:multiLevelType w:val="hybridMultilevel"/>
    <w:tmpl w:val="F8045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6F68AF"/>
    <w:multiLevelType w:val="hybridMultilevel"/>
    <w:tmpl w:val="AB10F818"/>
    <w:lvl w:ilvl="0" w:tplc="99141F5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A15306"/>
    <w:multiLevelType w:val="hybridMultilevel"/>
    <w:tmpl w:val="32E2759E"/>
    <w:name w:val="List Number 1__1"/>
    <w:lvl w:ilvl="0" w:tplc="341C9CE0">
      <w:start w:val="1"/>
      <w:numFmt w:val="decimal"/>
      <w:lvlRestart w:val="0"/>
      <w:pStyle w:val="ListNumber1"/>
      <w:lvlText w:val="(%1)"/>
      <w:lvlJc w:val="left"/>
      <w:pPr>
        <w:tabs>
          <w:tab w:val="num" w:pos="1560"/>
        </w:tabs>
        <w:ind w:left="1560" w:hanging="709"/>
      </w:pPr>
    </w:lvl>
    <w:lvl w:ilvl="1" w:tplc="EA6AA808">
      <w:start w:val="1"/>
      <w:numFmt w:val="lowerLetter"/>
      <w:pStyle w:val="ListNumber1Level2"/>
      <w:lvlText w:val="(%2)"/>
      <w:lvlJc w:val="left"/>
      <w:pPr>
        <w:tabs>
          <w:tab w:val="num" w:pos="2268"/>
        </w:tabs>
        <w:ind w:left="2268" w:hanging="708"/>
      </w:pPr>
    </w:lvl>
    <w:lvl w:ilvl="2" w:tplc="E45C5DB0">
      <w:start w:val="1"/>
      <w:numFmt w:val="bullet"/>
      <w:pStyle w:val="ListNumber1Level3"/>
      <w:lvlText w:val="–"/>
      <w:lvlJc w:val="left"/>
      <w:pPr>
        <w:tabs>
          <w:tab w:val="num" w:pos="2977"/>
        </w:tabs>
        <w:ind w:left="2977" w:hanging="709"/>
      </w:pPr>
      <w:rPr>
        <w:rFonts w:ascii="Times New Roman" w:hAnsi="Times New Roman" w:cs="Times New Roman"/>
      </w:rPr>
    </w:lvl>
    <w:lvl w:ilvl="3" w:tplc="805473E0">
      <w:start w:val="1"/>
      <w:numFmt w:val="bullet"/>
      <w:pStyle w:val="ListNumber1Level4"/>
      <w:lvlText w:val=""/>
      <w:lvlJc w:val="left"/>
      <w:pPr>
        <w:tabs>
          <w:tab w:val="num" w:pos="3686"/>
        </w:tabs>
        <w:ind w:left="3686" w:hanging="709"/>
      </w:pPr>
      <w:rPr>
        <w:rFonts w:ascii="Symbol" w:hAnsi="Symbol" w:hint="default"/>
      </w:rPr>
    </w:lvl>
    <w:lvl w:ilvl="4" w:tplc="EF683302">
      <w:start w:val="1"/>
      <w:numFmt w:val="lowerLetter"/>
      <w:lvlText w:val="(%5)"/>
      <w:lvlJc w:val="left"/>
      <w:pPr>
        <w:tabs>
          <w:tab w:val="num" w:pos="1800"/>
        </w:tabs>
        <w:ind w:left="1800" w:hanging="360"/>
      </w:pPr>
    </w:lvl>
    <w:lvl w:ilvl="5" w:tplc="38604306">
      <w:start w:val="1"/>
      <w:numFmt w:val="lowerRoman"/>
      <w:lvlText w:val="(%6)"/>
      <w:lvlJc w:val="left"/>
      <w:pPr>
        <w:tabs>
          <w:tab w:val="num" w:pos="2160"/>
        </w:tabs>
        <w:ind w:left="2160" w:hanging="360"/>
      </w:pPr>
    </w:lvl>
    <w:lvl w:ilvl="6" w:tplc="AFA84112">
      <w:start w:val="1"/>
      <w:numFmt w:val="decimal"/>
      <w:lvlText w:val="%7."/>
      <w:lvlJc w:val="left"/>
      <w:pPr>
        <w:tabs>
          <w:tab w:val="num" w:pos="2520"/>
        </w:tabs>
        <w:ind w:left="2520" w:hanging="360"/>
      </w:pPr>
    </w:lvl>
    <w:lvl w:ilvl="7" w:tplc="BA340A8A">
      <w:start w:val="1"/>
      <w:numFmt w:val="lowerLetter"/>
      <w:lvlText w:val="%8."/>
      <w:lvlJc w:val="left"/>
      <w:pPr>
        <w:tabs>
          <w:tab w:val="num" w:pos="2880"/>
        </w:tabs>
        <w:ind w:left="2880" w:hanging="360"/>
      </w:pPr>
    </w:lvl>
    <w:lvl w:ilvl="8" w:tplc="A6FEF9AE">
      <w:start w:val="1"/>
      <w:numFmt w:val="lowerRoman"/>
      <w:lvlText w:val="%9."/>
      <w:lvlJc w:val="left"/>
      <w:pPr>
        <w:tabs>
          <w:tab w:val="num" w:pos="3240"/>
        </w:tabs>
        <w:ind w:left="3240" w:hanging="360"/>
      </w:pPr>
    </w:lvl>
  </w:abstractNum>
  <w:abstractNum w:abstractNumId="89" w15:restartNumberingAfterBreak="0">
    <w:nsid w:val="77D866E1"/>
    <w:multiLevelType w:val="hybridMultilevel"/>
    <w:tmpl w:val="D7E29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8273D20"/>
    <w:multiLevelType w:val="hybridMultilevel"/>
    <w:tmpl w:val="65909F46"/>
    <w:lvl w:ilvl="0" w:tplc="0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1" w15:restartNumberingAfterBreak="0">
    <w:nsid w:val="78930051"/>
    <w:multiLevelType w:val="hybridMultilevel"/>
    <w:tmpl w:val="8A56AF44"/>
    <w:lvl w:ilvl="0" w:tplc="949A721E">
      <w:start w:val="1"/>
      <w:numFmt w:val="bullet"/>
      <w:lvlText w:val="-"/>
      <w:lvlJc w:val="left"/>
      <w:pPr>
        <w:ind w:left="720" w:hanging="360"/>
      </w:pPr>
      <w:rPr>
        <w:rFonts w:ascii="Times New Roman" w:eastAsia="Times New Roman" w:hAnsi="Times New Roman" w:cs="Times New Roman" w:hint="default"/>
        <w:b/>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9E35434"/>
    <w:multiLevelType w:val="hybridMultilevel"/>
    <w:tmpl w:val="A2D8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B653477"/>
    <w:multiLevelType w:val="hybridMultilevel"/>
    <w:tmpl w:val="E23C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DAA3FC3"/>
    <w:multiLevelType w:val="hybridMultilevel"/>
    <w:tmpl w:val="CB2E5752"/>
    <w:lvl w:ilvl="0" w:tplc="776E3CF2">
      <w:start w:val="1"/>
      <w:numFmt w:val="bullet"/>
      <w:lvlText w:val=""/>
      <w:lvlJc w:val="left"/>
      <w:pPr>
        <w:ind w:left="1440" w:hanging="360"/>
      </w:pPr>
      <w:rPr>
        <w:rFonts w:ascii="Symbol" w:hAnsi="Symbol" w:hint="default"/>
        <w:color w:val="000000" w:themeColor="text1"/>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7EFD73FF"/>
    <w:multiLevelType w:val="hybridMultilevel"/>
    <w:tmpl w:val="8B1A0EAE"/>
    <w:lvl w:ilvl="0" w:tplc="0809000D">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711876">
    <w:abstractNumId w:val="67"/>
  </w:num>
  <w:num w:numId="2" w16cid:durableId="154028654">
    <w:abstractNumId w:val="8"/>
  </w:num>
  <w:num w:numId="3" w16cid:durableId="1198665754">
    <w:abstractNumId w:val="75"/>
  </w:num>
  <w:num w:numId="4" w16cid:durableId="2067409802">
    <w:abstractNumId w:val="26"/>
  </w:num>
  <w:num w:numId="5" w16cid:durableId="1238053425">
    <w:abstractNumId w:val="73"/>
  </w:num>
  <w:num w:numId="6" w16cid:durableId="1927835141">
    <w:abstractNumId w:val="3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3162914">
    <w:abstractNumId w:val="62"/>
  </w:num>
  <w:num w:numId="8" w16cid:durableId="662053869">
    <w:abstractNumId w:val="32"/>
  </w:num>
  <w:num w:numId="9" w16cid:durableId="1741832233">
    <w:abstractNumId w:val="88"/>
  </w:num>
  <w:num w:numId="10" w16cid:durableId="1977953568">
    <w:abstractNumId w:val="45"/>
  </w:num>
  <w:num w:numId="11" w16cid:durableId="1935280383">
    <w:abstractNumId w:val="54"/>
  </w:num>
  <w:num w:numId="12" w16cid:durableId="681277742">
    <w:abstractNumId w:val="23"/>
  </w:num>
  <w:num w:numId="13" w16cid:durableId="685406354">
    <w:abstractNumId w:val="87"/>
  </w:num>
  <w:num w:numId="14" w16cid:durableId="1730693203">
    <w:abstractNumId w:val="66"/>
  </w:num>
  <w:num w:numId="15" w16cid:durableId="529144335">
    <w:abstractNumId w:val="40"/>
  </w:num>
  <w:num w:numId="16" w16cid:durableId="1240679701">
    <w:abstractNumId w:val="12"/>
  </w:num>
  <w:num w:numId="17" w16cid:durableId="2014067304">
    <w:abstractNumId w:val="89"/>
  </w:num>
  <w:num w:numId="18" w16cid:durableId="68494060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4985280">
    <w:abstractNumId w:val="42"/>
  </w:num>
  <w:num w:numId="20" w16cid:durableId="286130740">
    <w:abstractNumId w:val="95"/>
  </w:num>
  <w:num w:numId="21" w16cid:durableId="1761096768">
    <w:abstractNumId w:val="77"/>
  </w:num>
  <w:num w:numId="22" w16cid:durableId="1995643606">
    <w:abstractNumId w:val="44"/>
  </w:num>
  <w:num w:numId="23" w16cid:durableId="199336444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7475994">
    <w:abstractNumId w:val="28"/>
  </w:num>
  <w:num w:numId="25" w16cid:durableId="1535580434">
    <w:abstractNumId w:val="60"/>
  </w:num>
  <w:num w:numId="26" w16cid:durableId="1423837867">
    <w:abstractNumId w:val="36"/>
  </w:num>
  <w:num w:numId="27" w16cid:durableId="173958808">
    <w:abstractNumId w:val="74"/>
  </w:num>
  <w:num w:numId="28" w16cid:durableId="1413890730">
    <w:abstractNumId w:val="41"/>
  </w:num>
  <w:num w:numId="29" w16cid:durableId="1591312316">
    <w:abstractNumId w:val="24"/>
  </w:num>
  <w:num w:numId="30" w16cid:durableId="2124574874">
    <w:abstractNumId w:val="18"/>
  </w:num>
  <w:num w:numId="31" w16cid:durableId="1495683428">
    <w:abstractNumId w:val="83"/>
  </w:num>
  <w:num w:numId="32" w16cid:durableId="967513882">
    <w:abstractNumId w:val="30"/>
  </w:num>
  <w:num w:numId="33" w16cid:durableId="953099084">
    <w:abstractNumId w:val="3"/>
  </w:num>
  <w:num w:numId="34" w16cid:durableId="582035016">
    <w:abstractNumId w:val="59"/>
  </w:num>
  <w:num w:numId="35" w16cid:durableId="1099957528">
    <w:abstractNumId w:val="38"/>
  </w:num>
  <w:num w:numId="36" w16cid:durableId="1016885292">
    <w:abstractNumId w:val="92"/>
  </w:num>
  <w:num w:numId="37" w16cid:durableId="1563910816">
    <w:abstractNumId w:val="25"/>
  </w:num>
  <w:num w:numId="38" w16cid:durableId="1566329936">
    <w:abstractNumId w:val="2"/>
  </w:num>
  <w:num w:numId="39" w16cid:durableId="1773358642">
    <w:abstractNumId w:val="29"/>
  </w:num>
  <w:num w:numId="40" w16cid:durableId="1117023642">
    <w:abstractNumId w:val="70"/>
  </w:num>
  <w:num w:numId="41" w16cid:durableId="522600118">
    <w:abstractNumId w:val="4"/>
  </w:num>
  <w:num w:numId="42" w16cid:durableId="1787039165">
    <w:abstractNumId w:val="10"/>
  </w:num>
  <w:num w:numId="43" w16cid:durableId="653922102">
    <w:abstractNumId w:val="50"/>
  </w:num>
  <w:num w:numId="44" w16cid:durableId="1542790477">
    <w:abstractNumId w:val="5"/>
  </w:num>
  <w:num w:numId="45" w16cid:durableId="1184247221">
    <w:abstractNumId w:val="16"/>
  </w:num>
  <w:num w:numId="46" w16cid:durableId="1613197914">
    <w:abstractNumId w:val="7"/>
  </w:num>
  <w:num w:numId="47" w16cid:durableId="776371033">
    <w:abstractNumId w:val="79"/>
  </w:num>
  <w:num w:numId="48" w16cid:durableId="2080665868">
    <w:abstractNumId w:val="69"/>
  </w:num>
  <w:num w:numId="49" w16cid:durableId="1849903653">
    <w:abstractNumId w:val="64"/>
  </w:num>
  <w:num w:numId="50" w16cid:durableId="1717506883">
    <w:abstractNumId w:val="86"/>
  </w:num>
  <w:num w:numId="51" w16cid:durableId="937106370">
    <w:abstractNumId w:val="13"/>
  </w:num>
  <w:num w:numId="52" w16cid:durableId="1688605278">
    <w:abstractNumId w:val="93"/>
  </w:num>
  <w:num w:numId="53" w16cid:durableId="1097628579">
    <w:abstractNumId w:val="49"/>
  </w:num>
  <w:num w:numId="54" w16cid:durableId="596980466">
    <w:abstractNumId w:val="56"/>
  </w:num>
  <w:num w:numId="55" w16cid:durableId="1567960630">
    <w:abstractNumId w:val="9"/>
  </w:num>
  <w:num w:numId="56" w16cid:durableId="1532763797">
    <w:abstractNumId w:val="82"/>
  </w:num>
  <w:num w:numId="57" w16cid:durableId="1054356475">
    <w:abstractNumId w:val="35"/>
  </w:num>
  <w:num w:numId="58" w16cid:durableId="175579749">
    <w:abstractNumId w:val="8"/>
  </w:num>
  <w:num w:numId="59" w16cid:durableId="1469588374">
    <w:abstractNumId w:val="8"/>
  </w:num>
  <w:num w:numId="60" w16cid:durableId="762458429">
    <w:abstractNumId w:val="8"/>
  </w:num>
  <w:num w:numId="61" w16cid:durableId="762916747">
    <w:abstractNumId w:val="8"/>
  </w:num>
  <w:num w:numId="62" w16cid:durableId="1317103133">
    <w:abstractNumId w:val="57"/>
  </w:num>
  <w:num w:numId="63" w16cid:durableId="439495851">
    <w:abstractNumId w:val="67"/>
  </w:num>
  <w:num w:numId="64" w16cid:durableId="649477070">
    <w:abstractNumId w:val="8"/>
    <w:lvlOverride w:ilvl="0">
      <w:startOverride w:val="1"/>
    </w:lvlOverride>
    <w:lvlOverride w:ilvl="1">
      <w:startOverride w:val="2"/>
    </w:lvlOverride>
  </w:num>
  <w:num w:numId="65" w16cid:durableId="210506995">
    <w:abstractNumId w:val="47"/>
  </w:num>
  <w:num w:numId="66" w16cid:durableId="4721240">
    <w:abstractNumId w:val="85"/>
  </w:num>
  <w:num w:numId="67" w16cid:durableId="541526850">
    <w:abstractNumId w:val="61"/>
  </w:num>
  <w:num w:numId="68" w16cid:durableId="469247255">
    <w:abstractNumId w:val="78"/>
  </w:num>
  <w:num w:numId="69" w16cid:durableId="342829517">
    <w:abstractNumId w:val="67"/>
  </w:num>
  <w:num w:numId="70" w16cid:durableId="170071714">
    <w:abstractNumId w:val="46"/>
  </w:num>
  <w:num w:numId="71" w16cid:durableId="1062680494">
    <w:abstractNumId w:val="7"/>
  </w:num>
  <w:num w:numId="72" w16cid:durableId="1178036086">
    <w:abstractNumId w:val="12"/>
  </w:num>
  <w:num w:numId="73" w16cid:durableId="1031881604">
    <w:abstractNumId w:val="40"/>
  </w:num>
  <w:num w:numId="74" w16cid:durableId="62992934">
    <w:abstractNumId w:val="53"/>
  </w:num>
  <w:num w:numId="75" w16cid:durableId="1024402668">
    <w:abstractNumId w:val="21"/>
  </w:num>
  <w:num w:numId="76" w16cid:durableId="1435706662">
    <w:abstractNumId w:val="58"/>
  </w:num>
  <w:num w:numId="77" w16cid:durableId="1392577346">
    <w:abstractNumId w:val="94"/>
  </w:num>
  <w:num w:numId="78" w16cid:durableId="1770612621">
    <w:abstractNumId w:val="8"/>
  </w:num>
  <w:num w:numId="79" w16cid:durableId="134758695">
    <w:abstractNumId w:val="55"/>
  </w:num>
  <w:num w:numId="80" w16cid:durableId="907959495">
    <w:abstractNumId w:val="15"/>
  </w:num>
  <w:num w:numId="81" w16cid:durableId="13368810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95701423">
    <w:abstractNumId w:val="8"/>
  </w:num>
  <w:num w:numId="83" w16cid:durableId="36588534">
    <w:abstractNumId w:val="8"/>
  </w:num>
  <w:num w:numId="84" w16cid:durableId="2089572953">
    <w:abstractNumId w:val="67"/>
  </w:num>
  <w:num w:numId="85" w16cid:durableId="2037191000">
    <w:abstractNumId w:val="67"/>
  </w:num>
  <w:num w:numId="86" w16cid:durableId="974408271">
    <w:abstractNumId w:val="67"/>
  </w:num>
  <w:num w:numId="87" w16cid:durableId="386733510">
    <w:abstractNumId w:val="67"/>
  </w:num>
  <w:num w:numId="88" w16cid:durableId="1411076749">
    <w:abstractNumId w:val="67"/>
  </w:num>
  <w:num w:numId="89" w16cid:durableId="1275357290">
    <w:abstractNumId w:val="76"/>
  </w:num>
  <w:num w:numId="90" w16cid:durableId="588780357">
    <w:abstractNumId w:val="22"/>
  </w:num>
  <w:num w:numId="91" w16cid:durableId="327024917">
    <w:abstractNumId w:val="63"/>
  </w:num>
  <w:num w:numId="92" w16cid:durableId="1090388180">
    <w:abstractNumId w:val="84"/>
  </w:num>
  <w:num w:numId="93" w16cid:durableId="2006130740">
    <w:abstractNumId w:val="52"/>
  </w:num>
  <w:num w:numId="94" w16cid:durableId="986278897">
    <w:abstractNumId w:val="67"/>
  </w:num>
  <w:num w:numId="95" w16cid:durableId="1128359386">
    <w:abstractNumId w:val="67"/>
  </w:num>
  <w:num w:numId="96" w16cid:durableId="188027254">
    <w:abstractNumId w:val="67"/>
  </w:num>
  <w:num w:numId="97" w16cid:durableId="1923446082">
    <w:abstractNumId w:val="34"/>
  </w:num>
  <w:num w:numId="98" w16cid:durableId="278071238">
    <w:abstractNumId w:val="43"/>
  </w:num>
  <w:num w:numId="99" w16cid:durableId="472722600">
    <w:abstractNumId w:val="14"/>
  </w:num>
  <w:num w:numId="100" w16cid:durableId="2076007249">
    <w:abstractNumId w:val="90"/>
  </w:num>
  <w:num w:numId="101" w16cid:durableId="1724713832">
    <w:abstractNumId w:val="19"/>
  </w:num>
  <w:num w:numId="102" w16cid:durableId="503282434">
    <w:abstractNumId w:val="19"/>
  </w:num>
  <w:num w:numId="103" w16cid:durableId="1163164114">
    <w:abstractNumId w:val="39"/>
  </w:num>
  <w:num w:numId="104" w16cid:durableId="2082215655">
    <w:abstractNumId w:val="33"/>
  </w:num>
  <w:num w:numId="105" w16cid:durableId="140911023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62469358">
    <w:abstractNumId w:val="48"/>
  </w:num>
  <w:num w:numId="107" w16cid:durableId="1647776453">
    <w:abstractNumId w:val="68"/>
  </w:num>
  <w:num w:numId="108" w16cid:durableId="2134012294">
    <w:abstractNumId w:val="51"/>
  </w:num>
  <w:num w:numId="109" w16cid:durableId="134877900">
    <w:abstractNumId w:val="12"/>
  </w:num>
  <w:num w:numId="110" w16cid:durableId="1348942658">
    <w:abstractNumId w:val="12"/>
  </w:num>
  <w:num w:numId="111" w16cid:durableId="20902249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91188690">
    <w:abstractNumId w:val="32"/>
  </w:num>
  <w:num w:numId="113" w16cid:durableId="458375948">
    <w:abstractNumId w:val="11"/>
  </w:num>
  <w:num w:numId="114" w16cid:durableId="21640558">
    <w:abstractNumId w:val="80"/>
  </w:num>
  <w:num w:numId="115" w16cid:durableId="290332992">
    <w:abstractNumId w:val="81"/>
  </w:num>
  <w:num w:numId="116" w16cid:durableId="843664599">
    <w:abstractNumId w:val="0"/>
  </w:num>
  <w:num w:numId="117" w16cid:durableId="264773049">
    <w:abstractNumId w:val="17"/>
  </w:num>
  <w:num w:numId="118" w16cid:durableId="113138636">
    <w:abstractNumId w:val="72"/>
  </w:num>
  <w:num w:numId="119" w16cid:durableId="357245511">
    <w:abstractNumId w:val="91"/>
  </w:num>
  <w:num w:numId="120" w16cid:durableId="1619020705">
    <w:abstractNumId w:val="71"/>
  </w:num>
  <w:num w:numId="121" w16cid:durableId="746878990">
    <w:abstractNumId w:val="6"/>
  </w:num>
  <w:num w:numId="122" w16cid:durableId="1018195790">
    <w:abstractNumId w:val="1"/>
  </w:num>
  <w:num w:numId="123" w16cid:durableId="888683747">
    <w:abstractNumId w:val="20"/>
  </w:num>
  <w:num w:numId="124" w16cid:durableId="1554385144">
    <w:abstractNumId w:val="65"/>
  </w:num>
  <w:num w:numId="125" w16cid:durableId="2060278762">
    <w:abstractNumId w:val="27"/>
  </w:num>
  <w:num w:numId="126" w16cid:durableId="916282209">
    <w:abstractNumId w:val="31"/>
  </w:num>
  <w:num w:numId="127" w16cid:durableId="1861888791">
    <w:abstractNumId w:val="6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NjE3NzW2NDUzMzNQ0lEKTi0uzszPAykwrAUAj6izdiwAAAA="/>
    <w:docVar w:name="LW_DocType" w:val="NORMAL"/>
  </w:docVars>
  <w:rsids>
    <w:rsidRoot w:val="00A86256"/>
    <w:rsid w:val="00000C2D"/>
    <w:rsid w:val="00000C75"/>
    <w:rsid w:val="00000FE0"/>
    <w:rsid w:val="00001177"/>
    <w:rsid w:val="0000136E"/>
    <w:rsid w:val="00001C85"/>
    <w:rsid w:val="00001EF9"/>
    <w:rsid w:val="000021DC"/>
    <w:rsid w:val="0000255A"/>
    <w:rsid w:val="00002E3E"/>
    <w:rsid w:val="0000303F"/>
    <w:rsid w:val="00003169"/>
    <w:rsid w:val="00004873"/>
    <w:rsid w:val="0000488A"/>
    <w:rsid w:val="00004F47"/>
    <w:rsid w:val="000052CA"/>
    <w:rsid w:val="000057DC"/>
    <w:rsid w:val="00005979"/>
    <w:rsid w:val="00005D65"/>
    <w:rsid w:val="000062F1"/>
    <w:rsid w:val="0000641E"/>
    <w:rsid w:val="00006884"/>
    <w:rsid w:val="00006AF4"/>
    <w:rsid w:val="00006C1E"/>
    <w:rsid w:val="00006EFC"/>
    <w:rsid w:val="00006FF1"/>
    <w:rsid w:val="0000757B"/>
    <w:rsid w:val="000075A2"/>
    <w:rsid w:val="000105A3"/>
    <w:rsid w:val="000113D1"/>
    <w:rsid w:val="00011527"/>
    <w:rsid w:val="000115B3"/>
    <w:rsid w:val="00011B68"/>
    <w:rsid w:val="00011C07"/>
    <w:rsid w:val="00011E4F"/>
    <w:rsid w:val="00012395"/>
    <w:rsid w:val="000123C5"/>
    <w:rsid w:val="00012638"/>
    <w:rsid w:val="00012BFC"/>
    <w:rsid w:val="000130F8"/>
    <w:rsid w:val="000131B6"/>
    <w:rsid w:val="000132E5"/>
    <w:rsid w:val="00013440"/>
    <w:rsid w:val="0001347C"/>
    <w:rsid w:val="00013609"/>
    <w:rsid w:val="00013BF4"/>
    <w:rsid w:val="000141C3"/>
    <w:rsid w:val="00014255"/>
    <w:rsid w:val="00014B0D"/>
    <w:rsid w:val="000154BA"/>
    <w:rsid w:val="000158DC"/>
    <w:rsid w:val="00015A60"/>
    <w:rsid w:val="00015AC9"/>
    <w:rsid w:val="00015CF3"/>
    <w:rsid w:val="00015DEB"/>
    <w:rsid w:val="00016D55"/>
    <w:rsid w:val="00016D9B"/>
    <w:rsid w:val="00016EFC"/>
    <w:rsid w:val="0001726A"/>
    <w:rsid w:val="00017F02"/>
    <w:rsid w:val="00020020"/>
    <w:rsid w:val="000202B8"/>
    <w:rsid w:val="000204A8"/>
    <w:rsid w:val="000216AB"/>
    <w:rsid w:val="000217ED"/>
    <w:rsid w:val="00021A09"/>
    <w:rsid w:val="00021D85"/>
    <w:rsid w:val="00022A8B"/>
    <w:rsid w:val="00022ABC"/>
    <w:rsid w:val="00022DF0"/>
    <w:rsid w:val="0002366B"/>
    <w:rsid w:val="000237C7"/>
    <w:rsid w:val="0002397B"/>
    <w:rsid w:val="00023BD3"/>
    <w:rsid w:val="00023D76"/>
    <w:rsid w:val="000242FA"/>
    <w:rsid w:val="00024506"/>
    <w:rsid w:val="000248DC"/>
    <w:rsid w:val="00025242"/>
    <w:rsid w:val="0002534B"/>
    <w:rsid w:val="00025417"/>
    <w:rsid w:val="0002547B"/>
    <w:rsid w:val="00025537"/>
    <w:rsid w:val="0002592B"/>
    <w:rsid w:val="00025E26"/>
    <w:rsid w:val="0002607A"/>
    <w:rsid w:val="0002609A"/>
    <w:rsid w:val="00026C59"/>
    <w:rsid w:val="00026D3E"/>
    <w:rsid w:val="00026EEF"/>
    <w:rsid w:val="00026F60"/>
    <w:rsid w:val="00027095"/>
    <w:rsid w:val="000276D8"/>
    <w:rsid w:val="000301DC"/>
    <w:rsid w:val="00030702"/>
    <w:rsid w:val="00030AE1"/>
    <w:rsid w:val="00030C23"/>
    <w:rsid w:val="00030FE2"/>
    <w:rsid w:val="00030FF8"/>
    <w:rsid w:val="00031171"/>
    <w:rsid w:val="0003129E"/>
    <w:rsid w:val="00031765"/>
    <w:rsid w:val="0003212D"/>
    <w:rsid w:val="00032943"/>
    <w:rsid w:val="00032C27"/>
    <w:rsid w:val="00033C82"/>
    <w:rsid w:val="00033F6C"/>
    <w:rsid w:val="000342BE"/>
    <w:rsid w:val="000345C8"/>
    <w:rsid w:val="00035F44"/>
    <w:rsid w:val="00036306"/>
    <w:rsid w:val="000367FE"/>
    <w:rsid w:val="000368A6"/>
    <w:rsid w:val="00036E2B"/>
    <w:rsid w:val="00037227"/>
    <w:rsid w:val="00037967"/>
    <w:rsid w:val="00040E35"/>
    <w:rsid w:val="00041104"/>
    <w:rsid w:val="00041310"/>
    <w:rsid w:val="00041660"/>
    <w:rsid w:val="000416DC"/>
    <w:rsid w:val="000418A1"/>
    <w:rsid w:val="00041F87"/>
    <w:rsid w:val="000422FC"/>
    <w:rsid w:val="0004250A"/>
    <w:rsid w:val="000427BB"/>
    <w:rsid w:val="0004282E"/>
    <w:rsid w:val="00042AA5"/>
    <w:rsid w:val="00042EE7"/>
    <w:rsid w:val="00042F66"/>
    <w:rsid w:val="000434F1"/>
    <w:rsid w:val="00043C0F"/>
    <w:rsid w:val="00044310"/>
    <w:rsid w:val="00044473"/>
    <w:rsid w:val="000451E7"/>
    <w:rsid w:val="0004548E"/>
    <w:rsid w:val="000455A5"/>
    <w:rsid w:val="000457F7"/>
    <w:rsid w:val="000458B4"/>
    <w:rsid w:val="00045B46"/>
    <w:rsid w:val="00045C40"/>
    <w:rsid w:val="00045FEE"/>
    <w:rsid w:val="000470C4"/>
    <w:rsid w:val="0004717C"/>
    <w:rsid w:val="000476BB"/>
    <w:rsid w:val="00047BDE"/>
    <w:rsid w:val="00047BE6"/>
    <w:rsid w:val="00047D70"/>
    <w:rsid w:val="00050062"/>
    <w:rsid w:val="0005013E"/>
    <w:rsid w:val="0005032F"/>
    <w:rsid w:val="000506FE"/>
    <w:rsid w:val="0005091A"/>
    <w:rsid w:val="00050966"/>
    <w:rsid w:val="00050A9F"/>
    <w:rsid w:val="00050ADF"/>
    <w:rsid w:val="00050D75"/>
    <w:rsid w:val="00051024"/>
    <w:rsid w:val="000511F2"/>
    <w:rsid w:val="000512F3"/>
    <w:rsid w:val="0005148A"/>
    <w:rsid w:val="00051649"/>
    <w:rsid w:val="00051A23"/>
    <w:rsid w:val="00051ACD"/>
    <w:rsid w:val="000531F1"/>
    <w:rsid w:val="00053ABA"/>
    <w:rsid w:val="00053B20"/>
    <w:rsid w:val="00053C4A"/>
    <w:rsid w:val="000540F7"/>
    <w:rsid w:val="00054340"/>
    <w:rsid w:val="0005437F"/>
    <w:rsid w:val="0005465E"/>
    <w:rsid w:val="00054E58"/>
    <w:rsid w:val="00054E9E"/>
    <w:rsid w:val="00055152"/>
    <w:rsid w:val="000558CD"/>
    <w:rsid w:val="0005598C"/>
    <w:rsid w:val="00055A04"/>
    <w:rsid w:val="00055BB2"/>
    <w:rsid w:val="00055CC4"/>
    <w:rsid w:val="00055EC9"/>
    <w:rsid w:val="00055FE3"/>
    <w:rsid w:val="00056824"/>
    <w:rsid w:val="0005688C"/>
    <w:rsid w:val="00056910"/>
    <w:rsid w:val="00056B72"/>
    <w:rsid w:val="00057858"/>
    <w:rsid w:val="000578E7"/>
    <w:rsid w:val="00057F6E"/>
    <w:rsid w:val="00060412"/>
    <w:rsid w:val="00060D56"/>
    <w:rsid w:val="0006126E"/>
    <w:rsid w:val="000618F9"/>
    <w:rsid w:val="00061B70"/>
    <w:rsid w:val="00061E36"/>
    <w:rsid w:val="00062507"/>
    <w:rsid w:val="00062893"/>
    <w:rsid w:val="000629CB"/>
    <w:rsid w:val="00062D86"/>
    <w:rsid w:val="00062FBE"/>
    <w:rsid w:val="00063372"/>
    <w:rsid w:val="0006347F"/>
    <w:rsid w:val="0006389F"/>
    <w:rsid w:val="0006455D"/>
    <w:rsid w:val="000646A2"/>
    <w:rsid w:val="000648C4"/>
    <w:rsid w:val="000648D7"/>
    <w:rsid w:val="00064A87"/>
    <w:rsid w:val="00065109"/>
    <w:rsid w:val="0006579F"/>
    <w:rsid w:val="000659F8"/>
    <w:rsid w:val="00065C8C"/>
    <w:rsid w:val="00065E19"/>
    <w:rsid w:val="000660B6"/>
    <w:rsid w:val="000662EC"/>
    <w:rsid w:val="0006685B"/>
    <w:rsid w:val="00066907"/>
    <w:rsid w:val="00066F68"/>
    <w:rsid w:val="00067252"/>
    <w:rsid w:val="0006758F"/>
    <w:rsid w:val="000703FC"/>
    <w:rsid w:val="0007052D"/>
    <w:rsid w:val="000705CC"/>
    <w:rsid w:val="000710C4"/>
    <w:rsid w:val="0007139C"/>
    <w:rsid w:val="000714D2"/>
    <w:rsid w:val="000714D7"/>
    <w:rsid w:val="00071502"/>
    <w:rsid w:val="0007161D"/>
    <w:rsid w:val="00071637"/>
    <w:rsid w:val="00071D1E"/>
    <w:rsid w:val="0007227F"/>
    <w:rsid w:val="00072C8B"/>
    <w:rsid w:val="00073252"/>
    <w:rsid w:val="00073B35"/>
    <w:rsid w:val="00073FCE"/>
    <w:rsid w:val="00074146"/>
    <w:rsid w:val="000741E3"/>
    <w:rsid w:val="00074421"/>
    <w:rsid w:val="00075E6C"/>
    <w:rsid w:val="00075F28"/>
    <w:rsid w:val="000765E7"/>
    <w:rsid w:val="0007779C"/>
    <w:rsid w:val="00077A3A"/>
    <w:rsid w:val="00077A3F"/>
    <w:rsid w:val="00077D29"/>
    <w:rsid w:val="00077FDB"/>
    <w:rsid w:val="000807D6"/>
    <w:rsid w:val="000809AC"/>
    <w:rsid w:val="00080DFD"/>
    <w:rsid w:val="000810D6"/>
    <w:rsid w:val="00081328"/>
    <w:rsid w:val="00081731"/>
    <w:rsid w:val="00081B41"/>
    <w:rsid w:val="00081F6B"/>
    <w:rsid w:val="000826E9"/>
    <w:rsid w:val="000827CD"/>
    <w:rsid w:val="00082DF3"/>
    <w:rsid w:val="00082F88"/>
    <w:rsid w:val="00083686"/>
    <w:rsid w:val="00083A78"/>
    <w:rsid w:val="00083BC4"/>
    <w:rsid w:val="00083E7B"/>
    <w:rsid w:val="00084014"/>
    <w:rsid w:val="000844C1"/>
    <w:rsid w:val="0008471E"/>
    <w:rsid w:val="000848FD"/>
    <w:rsid w:val="00084912"/>
    <w:rsid w:val="00085053"/>
    <w:rsid w:val="00085620"/>
    <w:rsid w:val="00085DBE"/>
    <w:rsid w:val="000870C0"/>
    <w:rsid w:val="0008748D"/>
    <w:rsid w:val="0009035C"/>
    <w:rsid w:val="00090DEC"/>
    <w:rsid w:val="0009178D"/>
    <w:rsid w:val="00091845"/>
    <w:rsid w:val="00091ED1"/>
    <w:rsid w:val="00091F48"/>
    <w:rsid w:val="00092122"/>
    <w:rsid w:val="0009250B"/>
    <w:rsid w:val="0009257C"/>
    <w:rsid w:val="0009289F"/>
    <w:rsid w:val="00092D45"/>
    <w:rsid w:val="00093686"/>
    <w:rsid w:val="00093B9F"/>
    <w:rsid w:val="00093E5A"/>
    <w:rsid w:val="00095660"/>
    <w:rsid w:val="00095A8F"/>
    <w:rsid w:val="00095EDA"/>
    <w:rsid w:val="00097767"/>
    <w:rsid w:val="00097773"/>
    <w:rsid w:val="0009789C"/>
    <w:rsid w:val="00097E2A"/>
    <w:rsid w:val="00097E97"/>
    <w:rsid w:val="000A1DFC"/>
    <w:rsid w:val="000A22C9"/>
    <w:rsid w:val="000A2B74"/>
    <w:rsid w:val="000A2F91"/>
    <w:rsid w:val="000A325E"/>
    <w:rsid w:val="000A3E0B"/>
    <w:rsid w:val="000A3FAB"/>
    <w:rsid w:val="000A4137"/>
    <w:rsid w:val="000A4275"/>
    <w:rsid w:val="000A4451"/>
    <w:rsid w:val="000A480B"/>
    <w:rsid w:val="000A4DBF"/>
    <w:rsid w:val="000A505D"/>
    <w:rsid w:val="000A53AD"/>
    <w:rsid w:val="000A5B16"/>
    <w:rsid w:val="000A61EE"/>
    <w:rsid w:val="000A6512"/>
    <w:rsid w:val="000A6994"/>
    <w:rsid w:val="000A71E7"/>
    <w:rsid w:val="000A73AA"/>
    <w:rsid w:val="000A73FE"/>
    <w:rsid w:val="000A78CD"/>
    <w:rsid w:val="000A7A06"/>
    <w:rsid w:val="000B0535"/>
    <w:rsid w:val="000B0A6C"/>
    <w:rsid w:val="000B0FEF"/>
    <w:rsid w:val="000B1130"/>
    <w:rsid w:val="000B11ED"/>
    <w:rsid w:val="000B1C95"/>
    <w:rsid w:val="000B1E1B"/>
    <w:rsid w:val="000B1F49"/>
    <w:rsid w:val="000B2228"/>
    <w:rsid w:val="000B2EE3"/>
    <w:rsid w:val="000B3212"/>
    <w:rsid w:val="000B384F"/>
    <w:rsid w:val="000B386A"/>
    <w:rsid w:val="000B45DC"/>
    <w:rsid w:val="000B4FF6"/>
    <w:rsid w:val="000B513D"/>
    <w:rsid w:val="000B53E8"/>
    <w:rsid w:val="000B6007"/>
    <w:rsid w:val="000B6344"/>
    <w:rsid w:val="000B7060"/>
    <w:rsid w:val="000C10F1"/>
    <w:rsid w:val="000C16B2"/>
    <w:rsid w:val="000C1C7E"/>
    <w:rsid w:val="000C1D8F"/>
    <w:rsid w:val="000C264C"/>
    <w:rsid w:val="000C2A0F"/>
    <w:rsid w:val="000C303C"/>
    <w:rsid w:val="000C381D"/>
    <w:rsid w:val="000C3F44"/>
    <w:rsid w:val="000C41E2"/>
    <w:rsid w:val="000C45F3"/>
    <w:rsid w:val="000C4751"/>
    <w:rsid w:val="000C4B0E"/>
    <w:rsid w:val="000C4CEE"/>
    <w:rsid w:val="000C5055"/>
    <w:rsid w:val="000C553D"/>
    <w:rsid w:val="000C5767"/>
    <w:rsid w:val="000C593C"/>
    <w:rsid w:val="000C5DE1"/>
    <w:rsid w:val="000C6778"/>
    <w:rsid w:val="000C69E1"/>
    <w:rsid w:val="000C6C66"/>
    <w:rsid w:val="000C72B2"/>
    <w:rsid w:val="000C743D"/>
    <w:rsid w:val="000C763F"/>
    <w:rsid w:val="000C7A34"/>
    <w:rsid w:val="000D0E52"/>
    <w:rsid w:val="000D1439"/>
    <w:rsid w:val="000D15F5"/>
    <w:rsid w:val="000D1CC5"/>
    <w:rsid w:val="000D2CD4"/>
    <w:rsid w:val="000D2E50"/>
    <w:rsid w:val="000D3029"/>
    <w:rsid w:val="000D3084"/>
    <w:rsid w:val="000D30EC"/>
    <w:rsid w:val="000D38C0"/>
    <w:rsid w:val="000D3AA3"/>
    <w:rsid w:val="000D3B42"/>
    <w:rsid w:val="000D3D83"/>
    <w:rsid w:val="000D423D"/>
    <w:rsid w:val="000D4EDA"/>
    <w:rsid w:val="000D544A"/>
    <w:rsid w:val="000D5A85"/>
    <w:rsid w:val="000D5FD0"/>
    <w:rsid w:val="000D69D1"/>
    <w:rsid w:val="000D75EE"/>
    <w:rsid w:val="000D7CEF"/>
    <w:rsid w:val="000E093C"/>
    <w:rsid w:val="000E1673"/>
    <w:rsid w:val="000E17ED"/>
    <w:rsid w:val="000E18FD"/>
    <w:rsid w:val="000E1D5D"/>
    <w:rsid w:val="000E239E"/>
    <w:rsid w:val="000E263C"/>
    <w:rsid w:val="000E29B3"/>
    <w:rsid w:val="000E2B80"/>
    <w:rsid w:val="000E3120"/>
    <w:rsid w:val="000E319B"/>
    <w:rsid w:val="000E35DC"/>
    <w:rsid w:val="000E3B69"/>
    <w:rsid w:val="000E3FC9"/>
    <w:rsid w:val="000E402C"/>
    <w:rsid w:val="000E48C9"/>
    <w:rsid w:val="000E49E6"/>
    <w:rsid w:val="000E5357"/>
    <w:rsid w:val="000E559E"/>
    <w:rsid w:val="000E598B"/>
    <w:rsid w:val="000E5C39"/>
    <w:rsid w:val="000E5E9C"/>
    <w:rsid w:val="000E665D"/>
    <w:rsid w:val="000E675E"/>
    <w:rsid w:val="000E6992"/>
    <w:rsid w:val="000E71C1"/>
    <w:rsid w:val="000E73FA"/>
    <w:rsid w:val="000E748E"/>
    <w:rsid w:val="000E79AD"/>
    <w:rsid w:val="000E7AB5"/>
    <w:rsid w:val="000E7D1E"/>
    <w:rsid w:val="000F01BF"/>
    <w:rsid w:val="000F0DBB"/>
    <w:rsid w:val="000F0FD6"/>
    <w:rsid w:val="000F16BB"/>
    <w:rsid w:val="000F17BB"/>
    <w:rsid w:val="000F1D47"/>
    <w:rsid w:val="000F218A"/>
    <w:rsid w:val="000F288F"/>
    <w:rsid w:val="000F290C"/>
    <w:rsid w:val="000F2A61"/>
    <w:rsid w:val="000F2A69"/>
    <w:rsid w:val="000F2D2E"/>
    <w:rsid w:val="000F2E7A"/>
    <w:rsid w:val="000F329E"/>
    <w:rsid w:val="000F35F9"/>
    <w:rsid w:val="000F38A7"/>
    <w:rsid w:val="000F3B24"/>
    <w:rsid w:val="000F3B35"/>
    <w:rsid w:val="000F3DA3"/>
    <w:rsid w:val="000F408A"/>
    <w:rsid w:val="000F4572"/>
    <w:rsid w:val="000F4F55"/>
    <w:rsid w:val="000F51C8"/>
    <w:rsid w:val="000F56CA"/>
    <w:rsid w:val="000F5746"/>
    <w:rsid w:val="000F591B"/>
    <w:rsid w:val="000F606A"/>
    <w:rsid w:val="000F60EE"/>
    <w:rsid w:val="000F63B5"/>
    <w:rsid w:val="000F68AF"/>
    <w:rsid w:val="000F68F8"/>
    <w:rsid w:val="000F7229"/>
    <w:rsid w:val="000F73DC"/>
    <w:rsid w:val="000F775F"/>
    <w:rsid w:val="001002B2"/>
    <w:rsid w:val="0010038C"/>
    <w:rsid w:val="00100603"/>
    <w:rsid w:val="001007F3"/>
    <w:rsid w:val="00100BAF"/>
    <w:rsid w:val="00100EBF"/>
    <w:rsid w:val="001013BE"/>
    <w:rsid w:val="001015FE"/>
    <w:rsid w:val="00101E3C"/>
    <w:rsid w:val="00102F92"/>
    <w:rsid w:val="001033DE"/>
    <w:rsid w:val="00103AA1"/>
    <w:rsid w:val="00103B3D"/>
    <w:rsid w:val="00103F84"/>
    <w:rsid w:val="00104480"/>
    <w:rsid w:val="001046F3"/>
    <w:rsid w:val="00104713"/>
    <w:rsid w:val="00104963"/>
    <w:rsid w:val="00104F75"/>
    <w:rsid w:val="001052F7"/>
    <w:rsid w:val="00105458"/>
    <w:rsid w:val="00105651"/>
    <w:rsid w:val="00105AB4"/>
    <w:rsid w:val="00105D17"/>
    <w:rsid w:val="00105D53"/>
    <w:rsid w:val="00105FD8"/>
    <w:rsid w:val="0010620D"/>
    <w:rsid w:val="00106254"/>
    <w:rsid w:val="00107061"/>
    <w:rsid w:val="0010779E"/>
    <w:rsid w:val="00111498"/>
    <w:rsid w:val="00111931"/>
    <w:rsid w:val="001128E4"/>
    <w:rsid w:val="00112A11"/>
    <w:rsid w:val="0011343E"/>
    <w:rsid w:val="001135B6"/>
    <w:rsid w:val="00114E6A"/>
    <w:rsid w:val="00115432"/>
    <w:rsid w:val="00115A9D"/>
    <w:rsid w:val="001163A8"/>
    <w:rsid w:val="00116440"/>
    <w:rsid w:val="0011645B"/>
    <w:rsid w:val="0011656B"/>
    <w:rsid w:val="00116D01"/>
    <w:rsid w:val="00116D67"/>
    <w:rsid w:val="001170B6"/>
    <w:rsid w:val="0011722A"/>
    <w:rsid w:val="001174D7"/>
    <w:rsid w:val="00117CA0"/>
    <w:rsid w:val="001200AC"/>
    <w:rsid w:val="00120304"/>
    <w:rsid w:val="00120E61"/>
    <w:rsid w:val="00121085"/>
    <w:rsid w:val="00121842"/>
    <w:rsid w:val="001218E0"/>
    <w:rsid w:val="00121B65"/>
    <w:rsid w:val="00121E56"/>
    <w:rsid w:val="00122150"/>
    <w:rsid w:val="00122503"/>
    <w:rsid w:val="00122763"/>
    <w:rsid w:val="00122B47"/>
    <w:rsid w:val="001231FF"/>
    <w:rsid w:val="00123897"/>
    <w:rsid w:val="00123BE4"/>
    <w:rsid w:val="00124355"/>
    <w:rsid w:val="00124978"/>
    <w:rsid w:val="00124EDB"/>
    <w:rsid w:val="00125239"/>
    <w:rsid w:val="001252FC"/>
    <w:rsid w:val="0012558E"/>
    <w:rsid w:val="001256C5"/>
    <w:rsid w:val="001259A8"/>
    <w:rsid w:val="001260D7"/>
    <w:rsid w:val="00126103"/>
    <w:rsid w:val="0012654C"/>
    <w:rsid w:val="00126B51"/>
    <w:rsid w:val="00126C38"/>
    <w:rsid w:val="00127283"/>
    <w:rsid w:val="00127809"/>
    <w:rsid w:val="00130643"/>
    <w:rsid w:val="00131036"/>
    <w:rsid w:val="00131C25"/>
    <w:rsid w:val="00131E41"/>
    <w:rsid w:val="00131F44"/>
    <w:rsid w:val="00132253"/>
    <w:rsid w:val="00132278"/>
    <w:rsid w:val="00133B61"/>
    <w:rsid w:val="00133C76"/>
    <w:rsid w:val="00134036"/>
    <w:rsid w:val="0013429F"/>
    <w:rsid w:val="00134AF5"/>
    <w:rsid w:val="0013501D"/>
    <w:rsid w:val="001356DF"/>
    <w:rsid w:val="00135E4B"/>
    <w:rsid w:val="0013744C"/>
    <w:rsid w:val="00137806"/>
    <w:rsid w:val="00140835"/>
    <w:rsid w:val="00140CBB"/>
    <w:rsid w:val="001415C8"/>
    <w:rsid w:val="0014184E"/>
    <w:rsid w:val="0014186E"/>
    <w:rsid w:val="001418E7"/>
    <w:rsid w:val="00141967"/>
    <w:rsid w:val="00141DAF"/>
    <w:rsid w:val="00142105"/>
    <w:rsid w:val="0014214D"/>
    <w:rsid w:val="00142574"/>
    <w:rsid w:val="00142945"/>
    <w:rsid w:val="00142EC1"/>
    <w:rsid w:val="00143C18"/>
    <w:rsid w:val="00143D0C"/>
    <w:rsid w:val="00143E77"/>
    <w:rsid w:val="001441BB"/>
    <w:rsid w:val="00144C51"/>
    <w:rsid w:val="001455C9"/>
    <w:rsid w:val="001456D1"/>
    <w:rsid w:val="00145F6F"/>
    <w:rsid w:val="0014693C"/>
    <w:rsid w:val="00146D7E"/>
    <w:rsid w:val="00146F14"/>
    <w:rsid w:val="001477BA"/>
    <w:rsid w:val="00147967"/>
    <w:rsid w:val="00147970"/>
    <w:rsid w:val="00147CFF"/>
    <w:rsid w:val="0015034D"/>
    <w:rsid w:val="00150922"/>
    <w:rsid w:val="00150CB5"/>
    <w:rsid w:val="00151047"/>
    <w:rsid w:val="00151073"/>
    <w:rsid w:val="00151423"/>
    <w:rsid w:val="00151C9F"/>
    <w:rsid w:val="001521BE"/>
    <w:rsid w:val="00152B1D"/>
    <w:rsid w:val="00152BFF"/>
    <w:rsid w:val="00152CAE"/>
    <w:rsid w:val="00152E82"/>
    <w:rsid w:val="00153087"/>
    <w:rsid w:val="00153688"/>
    <w:rsid w:val="00153891"/>
    <w:rsid w:val="00153BEB"/>
    <w:rsid w:val="0015464D"/>
    <w:rsid w:val="00154C70"/>
    <w:rsid w:val="00154D15"/>
    <w:rsid w:val="00155969"/>
    <w:rsid w:val="001559FD"/>
    <w:rsid w:val="00155AA9"/>
    <w:rsid w:val="00155E97"/>
    <w:rsid w:val="00155FEB"/>
    <w:rsid w:val="00156199"/>
    <w:rsid w:val="001562D8"/>
    <w:rsid w:val="00156581"/>
    <w:rsid w:val="00156748"/>
    <w:rsid w:val="00156E41"/>
    <w:rsid w:val="001570D1"/>
    <w:rsid w:val="00157806"/>
    <w:rsid w:val="00157ECD"/>
    <w:rsid w:val="0016055F"/>
    <w:rsid w:val="001606A5"/>
    <w:rsid w:val="00160B91"/>
    <w:rsid w:val="00160EE8"/>
    <w:rsid w:val="00161453"/>
    <w:rsid w:val="00161460"/>
    <w:rsid w:val="001620A4"/>
    <w:rsid w:val="0016214A"/>
    <w:rsid w:val="00162278"/>
    <w:rsid w:val="00162EF6"/>
    <w:rsid w:val="00162F5A"/>
    <w:rsid w:val="00162FA4"/>
    <w:rsid w:val="00163400"/>
    <w:rsid w:val="0016362A"/>
    <w:rsid w:val="0016429B"/>
    <w:rsid w:val="0016434D"/>
    <w:rsid w:val="00164422"/>
    <w:rsid w:val="001649E8"/>
    <w:rsid w:val="00165213"/>
    <w:rsid w:val="00165832"/>
    <w:rsid w:val="0016596D"/>
    <w:rsid w:val="00165A7D"/>
    <w:rsid w:val="00165C5C"/>
    <w:rsid w:val="00165F1A"/>
    <w:rsid w:val="00165F63"/>
    <w:rsid w:val="00166457"/>
    <w:rsid w:val="00166668"/>
    <w:rsid w:val="001669B6"/>
    <w:rsid w:val="001669DF"/>
    <w:rsid w:val="00166A4C"/>
    <w:rsid w:val="00166C20"/>
    <w:rsid w:val="00166F2A"/>
    <w:rsid w:val="00167092"/>
    <w:rsid w:val="00167117"/>
    <w:rsid w:val="00167422"/>
    <w:rsid w:val="00167BA9"/>
    <w:rsid w:val="001706D6"/>
    <w:rsid w:val="00170DDA"/>
    <w:rsid w:val="00170FB2"/>
    <w:rsid w:val="00171393"/>
    <w:rsid w:val="0017141A"/>
    <w:rsid w:val="0017171D"/>
    <w:rsid w:val="001721C9"/>
    <w:rsid w:val="001722F0"/>
    <w:rsid w:val="00172B02"/>
    <w:rsid w:val="00172C88"/>
    <w:rsid w:val="00173BB8"/>
    <w:rsid w:val="00173BC6"/>
    <w:rsid w:val="00174E00"/>
    <w:rsid w:val="00175141"/>
    <w:rsid w:val="00175382"/>
    <w:rsid w:val="00175983"/>
    <w:rsid w:val="00175AB6"/>
    <w:rsid w:val="0017625D"/>
    <w:rsid w:val="001764B6"/>
    <w:rsid w:val="0017669E"/>
    <w:rsid w:val="0017696A"/>
    <w:rsid w:val="00177439"/>
    <w:rsid w:val="001801B7"/>
    <w:rsid w:val="00181D38"/>
    <w:rsid w:val="00182B07"/>
    <w:rsid w:val="00182C3B"/>
    <w:rsid w:val="00182C61"/>
    <w:rsid w:val="001830A7"/>
    <w:rsid w:val="001839A1"/>
    <w:rsid w:val="0018436A"/>
    <w:rsid w:val="001845C5"/>
    <w:rsid w:val="00184874"/>
    <w:rsid w:val="00184CC6"/>
    <w:rsid w:val="00185383"/>
    <w:rsid w:val="0018579B"/>
    <w:rsid w:val="00185D21"/>
    <w:rsid w:val="00185F4A"/>
    <w:rsid w:val="00185FE5"/>
    <w:rsid w:val="00186031"/>
    <w:rsid w:val="0018608C"/>
    <w:rsid w:val="00186278"/>
    <w:rsid w:val="0018645C"/>
    <w:rsid w:val="0018689C"/>
    <w:rsid w:val="00186AAE"/>
    <w:rsid w:val="00186DC2"/>
    <w:rsid w:val="0018736F"/>
    <w:rsid w:val="001876CC"/>
    <w:rsid w:val="0019028F"/>
    <w:rsid w:val="00190D5A"/>
    <w:rsid w:val="00191072"/>
    <w:rsid w:val="001910AE"/>
    <w:rsid w:val="0019145B"/>
    <w:rsid w:val="00191DE7"/>
    <w:rsid w:val="001930C7"/>
    <w:rsid w:val="0019325D"/>
    <w:rsid w:val="0019336D"/>
    <w:rsid w:val="0019347F"/>
    <w:rsid w:val="001935E9"/>
    <w:rsid w:val="00193CF3"/>
    <w:rsid w:val="00193E63"/>
    <w:rsid w:val="0019439B"/>
    <w:rsid w:val="001943EB"/>
    <w:rsid w:val="0019483E"/>
    <w:rsid w:val="00194B2C"/>
    <w:rsid w:val="001955C4"/>
    <w:rsid w:val="001958D4"/>
    <w:rsid w:val="00195D17"/>
    <w:rsid w:val="00196CEB"/>
    <w:rsid w:val="00196D6B"/>
    <w:rsid w:val="00196DCD"/>
    <w:rsid w:val="001A0188"/>
    <w:rsid w:val="001A0B65"/>
    <w:rsid w:val="001A10EA"/>
    <w:rsid w:val="001A182B"/>
    <w:rsid w:val="001A1F19"/>
    <w:rsid w:val="001A24AA"/>
    <w:rsid w:val="001A253E"/>
    <w:rsid w:val="001A2578"/>
    <w:rsid w:val="001A2FC8"/>
    <w:rsid w:val="001A33C2"/>
    <w:rsid w:val="001A3510"/>
    <w:rsid w:val="001A39F8"/>
    <w:rsid w:val="001A3E76"/>
    <w:rsid w:val="001A459D"/>
    <w:rsid w:val="001A4E9D"/>
    <w:rsid w:val="001A5135"/>
    <w:rsid w:val="001A596F"/>
    <w:rsid w:val="001A5F20"/>
    <w:rsid w:val="001A60CA"/>
    <w:rsid w:val="001A740B"/>
    <w:rsid w:val="001A78EF"/>
    <w:rsid w:val="001B03D8"/>
    <w:rsid w:val="001B0873"/>
    <w:rsid w:val="001B113C"/>
    <w:rsid w:val="001B258E"/>
    <w:rsid w:val="001B2667"/>
    <w:rsid w:val="001B269A"/>
    <w:rsid w:val="001B27F1"/>
    <w:rsid w:val="001B2E35"/>
    <w:rsid w:val="001B2E73"/>
    <w:rsid w:val="001B33B2"/>
    <w:rsid w:val="001B4251"/>
    <w:rsid w:val="001B4E8A"/>
    <w:rsid w:val="001B5A4C"/>
    <w:rsid w:val="001B5B6D"/>
    <w:rsid w:val="001B5C5C"/>
    <w:rsid w:val="001B6893"/>
    <w:rsid w:val="001B77B9"/>
    <w:rsid w:val="001B788B"/>
    <w:rsid w:val="001C01C3"/>
    <w:rsid w:val="001C01F7"/>
    <w:rsid w:val="001C05CA"/>
    <w:rsid w:val="001C0B49"/>
    <w:rsid w:val="001C14FA"/>
    <w:rsid w:val="001C1503"/>
    <w:rsid w:val="001C1796"/>
    <w:rsid w:val="001C1841"/>
    <w:rsid w:val="001C1ADD"/>
    <w:rsid w:val="001C20C1"/>
    <w:rsid w:val="001C2269"/>
    <w:rsid w:val="001C241D"/>
    <w:rsid w:val="001C2443"/>
    <w:rsid w:val="001C25D7"/>
    <w:rsid w:val="001C2BE5"/>
    <w:rsid w:val="001C3334"/>
    <w:rsid w:val="001C3485"/>
    <w:rsid w:val="001C37B2"/>
    <w:rsid w:val="001C384C"/>
    <w:rsid w:val="001C3CA7"/>
    <w:rsid w:val="001C3CCE"/>
    <w:rsid w:val="001C43B9"/>
    <w:rsid w:val="001C5528"/>
    <w:rsid w:val="001C619E"/>
    <w:rsid w:val="001C638F"/>
    <w:rsid w:val="001C641B"/>
    <w:rsid w:val="001C66F5"/>
    <w:rsid w:val="001C688A"/>
    <w:rsid w:val="001C7345"/>
    <w:rsid w:val="001C7855"/>
    <w:rsid w:val="001C7892"/>
    <w:rsid w:val="001C7EB4"/>
    <w:rsid w:val="001D0815"/>
    <w:rsid w:val="001D0FFE"/>
    <w:rsid w:val="001D112E"/>
    <w:rsid w:val="001D1700"/>
    <w:rsid w:val="001D1CD8"/>
    <w:rsid w:val="001D1CE0"/>
    <w:rsid w:val="001D1FB5"/>
    <w:rsid w:val="001D20D6"/>
    <w:rsid w:val="001D21DC"/>
    <w:rsid w:val="001D2267"/>
    <w:rsid w:val="001D3378"/>
    <w:rsid w:val="001D3BD6"/>
    <w:rsid w:val="001D3FC9"/>
    <w:rsid w:val="001D3FF7"/>
    <w:rsid w:val="001D4187"/>
    <w:rsid w:val="001D442B"/>
    <w:rsid w:val="001D4815"/>
    <w:rsid w:val="001D527B"/>
    <w:rsid w:val="001D52A1"/>
    <w:rsid w:val="001D56AD"/>
    <w:rsid w:val="001D5D63"/>
    <w:rsid w:val="001D6165"/>
    <w:rsid w:val="001D61AF"/>
    <w:rsid w:val="001D61ED"/>
    <w:rsid w:val="001D6785"/>
    <w:rsid w:val="001D6990"/>
    <w:rsid w:val="001D6E7A"/>
    <w:rsid w:val="001D7106"/>
    <w:rsid w:val="001D7858"/>
    <w:rsid w:val="001D7BA1"/>
    <w:rsid w:val="001E0154"/>
    <w:rsid w:val="001E09E4"/>
    <w:rsid w:val="001E0F63"/>
    <w:rsid w:val="001E169D"/>
    <w:rsid w:val="001E18C9"/>
    <w:rsid w:val="001E1ACA"/>
    <w:rsid w:val="001E1F3F"/>
    <w:rsid w:val="001E1F80"/>
    <w:rsid w:val="001E2B8C"/>
    <w:rsid w:val="001E2C9B"/>
    <w:rsid w:val="001E3362"/>
    <w:rsid w:val="001E35CB"/>
    <w:rsid w:val="001E39D7"/>
    <w:rsid w:val="001E3DCB"/>
    <w:rsid w:val="001E3F35"/>
    <w:rsid w:val="001E3FBF"/>
    <w:rsid w:val="001E3FD0"/>
    <w:rsid w:val="001E431F"/>
    <w:rsid w:val="001E4607"/>
    <w:rsid w:val="001E4707"/>
    <w:rsid w:val="001E5709"/>
    <w:rsid w:val="001E5831"/>
    <w:rsid w:val="001E683C"/>
    <w:rsid w:val="001E6ADE"/>
    <w:rsid w:val="001E704E"/>
    <w:rsid w:val="001E7300"/>
    <w:rsid w:val="001E7928"/>
    <w:rsid w:val="001E7948"/>
    <w:rsid w:val="001E7D98"/>
    <w:rsid w:val="001F0342"/>
    <w:rsid w:val="001F03FB"/>
    <w:rsid w:val="001F0F2E"/>
    <w:rsid w:val="001F110E"/>
    <w:rsid w:val="001F145B"/>
    <w:rsid w:val="001F14C4"/>
    <w:rsid w:val="001F152D"/>
    <w:rsid w:val="001F1967"/>
    <w:rsid w:val="001F1DCD"/>
    <w:rsid w:val="001F2099"/>
    <w:rsid w:val="001F256F"/>
    <w:rsid w:val="001F2781"/>
    <w:rsid w:val="001F2792"/>
    <w:rsid w:val="001F2C9F"/>
    <w:rsid w:val="001F2D30"/>
    <w:rsid w:val="001F2D5C"/>
    <w:rsid w:val="001F3297"/>
    <w:rsid w:val="001F39EA"/>
    <w:rsid w:val="001F3A7D"/>
    <w:rsid w:val="001F3BC4"/>
    <w:rsid w:val="001F3D54"/>
    <w:rsid w:val="001F40FF"/>
    <w:rsid w:val="001F45D5"/>
    <w:rsid w:val="001F577E"/>
    <w:rsid w:val="001F58ED"/>
    <w:rsid w:val="001F6C65"/>
    <w:rsid w:val="001F7538"/>
    <w:rsid w:val="001F7971"/>
    <w:rsid w:val="001F7FD4"/>
    <w:rsid w:val="0020000F"/>
    <w:rsid w:val="002001E0"/>
    <w:rsid w:val="0020052C"/>
    <w:rsid w:val="00200C43"/>
    <w:rsid w:val="00200CF9"/>
    <w:rsid w:val="00200F1C"/>
    <w:rsid w:val="00201078"/>
    <w:rsid w:val="002012F7"/>
    <w:rsid w:val="00202219"/>
    <w:rsid w:val="002026BB"/>
    <w:rsid w:val="0020340E"/>
    <w:rsid w:val="002037E1"/>
    <w:rsid w:val="002039B4"/>
    <w:rsid w:val="00204357"/>
    <w:rsid w:val="002046A8"/>
    <w:rsid w:val="0020496B"/>
    <w:rsid w:val="00205327"/>
    <w:rsid w:val="002054A1"/>
    <w:rsid w:val="00205D79"/>
    <w:rsid w:val="00206EE4"/>
    <w:rsid w:val="00207114"/>
    <w:rsid w:val="002079B0"/>
    <w:rsid w:val="00207C31"/>
    <w:rsid w:val="00207D7E"/>
    <w:rsid w:val="00210275"/>
    <w:rsid w:val="00210322"/>
    <w:rsid w:val="00210606"/>
    <w:rsid w:val="00210929"/>
    <w:rsid w:val="00210933"/>
    <w:rsid w:val="00211598"/>
    <w:rsid w:val="00211600"/>
    <w:rsid w:val="0021169C"/>
    <w:rsid w:val="002116F2"/>
    <w:rsid w:val="00211A11"/>
    <w:rsid w:val="00211AC1"/>
    <w:rsid w:val="00211EE8"/>
    <w:rsid w:val="0021200B"/>
    <w:rsid w:val="00212666"/>
    <w:rsid w:val="002128A2"/>
    <w:rsid w:val="002129D7"/>
    <w:rsid w:val="00212B20"/>
    <w:rsid w:val="00212CDA"/>
    <w:rsid w:val="002134C7"/>
    <w:rsid w:val="00214333"/>
    <w:rsid w:val="002143AF"/>
    <w:rsid w:val="00214EB1"/>
    <w:rsid w:val="00214FD0"/>
    <w:rsid w:val="00215A66"/>
    <w:rsid w:val="00215ACB"/>
    <w:rsid w:val="00215D7D"/>
    <w:rsid w:val="00216924"/>
    <w:rsid w:val="00216A80"/>
    <w:rsid w:val="00216ABC"/>
    <w:rsid w:val="00216DB3"/>
    <w:rsid w:val="00217532"/>
    <w:rsid w:val="00217C64"/>
    <w:rsid w:val="00217CEB"/>
    <w:rsid w:val="00220365"/>
    <w:rsid w:val="00221123"/>
    <w:rsid w:val="0022163F"/>
    <w:rsid w:val="002216C9"/>
    <w:rsid w:val="00221903"/>
    <w:rsid w:val="00222118"/>
    <w:rsid w:val="002221E0"/>
    <w:rsid w:val="0022233D"/>
    <w:rsid w:val="0022259C"/>
    <w:rsid w:val="00222787"/>
    <w:rsid w:val="00222841"/>
    <w:rsid w:val="00222D5C"/>
    <w:rsid w:val="00222F0F"/>
    <w:rsid w:val="00223588"/>
    <w:rsid w:val="00223690"/>
    <w:rsid w:val="00223DEF"/>
    <w:rsid w:val="00224253"/>
    <w:rsid w:val="002245DE"/>
    <w:rsid w:val="0022521F"/>
    <w:rsid w:val="00225914"/>
    <w:rsid w:val="00226914"/>
    <w:rsid w:val="00226C17"/>
    <w:rsid w:val="002271E1"/>
    <w:rsid w:val="0022770E"/>
    <w:rsid w:val="00227737"/>
    <w:rsid w:val="00227B49"/>
    <w:rsid w:val="00227BCD"/>
    <w:rsid w:val="00227D80"/>
    <w:rsid w:val="00230022"/>
    <w:rsid w:val="002309A3"/>
    <w:rsid w:val="00230AD4"/>
    <w:rsid w:val="00230BC4"/>
    <w:rsid w:val="00230D24"/>
    <w:rsid w:val="00231672"/>
    <w:rsid w:val="00231B8B"/>
    <w:rsid w:val="0023256F"/>
    <w:rsid w:val="00232A30"/>
    <w:rsid w:val="002331D5"/>
    <w:rsid w:val="0023328F"/>
    <w:rsid w:val="00233576"/>
    <w:rsid w:val="002337F1"/>
    <w:rsid w:val="00233CA5"/>
    <w:rsid w:val="00233D5D"/>
    <w:rsid w:val="0023408C"/>
    <w:rsid w:val="002346A2"/>
    <w:rsid w:val="00234703"/>
    <w:rsid w:val="00234A62"/>
    <w:rsid w:val="002352D7"/>
    <w:rsid w:val="00235867"/>
    <w:rsid w:val="00235B28"/>
    <w:rsid w:val="00236359"/>
    <w:rsid w:val="002366E0"/>
    <w:rsid w:val="00236889"/>
    <w:rsid w:val="00236B9F"/>
    <w:rsid w:val="002374E0"/>
    <w:rsid w:val="00237633"/>
    <w:rsid w:val="0023789D"/>
    <w:rsid w:val="00237FB8"/>
    <w:rsid w:val="00240370"/>
    <w:rsid w:val="002405D2"/>
    <w:rsid w:val="002408E3"/>
    <w:rsid w:val="00240A67"/>
    <w:rsid w:val="00240A81"/>
    <w:rsid w:val="00240BB2"/>
    <w:rsid w:val="00240E86"/>
    <w:rsid w:val="00240ECF"/>
    <w:rsid w:val="00241147"/>
    <w:rsid w:val="00241B6C"/>
    <w:rsid w:val="00241BA9"/>
    <w:rsid w:val="00241F9B"/>
    <w:rsid w:val="00242478"/>
    <w:rsid w:val="002424C3"/>
    <w:rsid w:val="0024298B"/>
    <w:rsid w:val="00242EC2"/>
    <w:rsid w:val="00242FBF"/>
    <w:rsid w:val="00243206"/>
    <w:rsid w:val="00243232"/>
    <w:rsid w:val="00243B67"/>
    <w:rsid w:val="00243F33"/>
    <w:rsid w:val="0024418A"/>
    <w:rsid w:val="00244513"/>
    <w:rsid w:val="0024479C"/>
    <w:rsid w:val="002448AF"/>
    <w:rsid w:val="002449A2"/>
    <w:rsid w:val="00244D99"/>
    <w:rsid w:val="0024526D"/>
    <w:rsid w:val="00245697"/>
    <w:rsid w:val="00245783"/>
    <w:rsid w:val="00245F32"/>
    <w:rsid w:val="002463F7"/>
    <w:rsid w:val="00246470"/>
    <w:rsid w:val="00246473"/>
    <w:rsid w:val="00246956"/>
    <w:rsid w:val="00246A36"/>
    <w:rsid w:val="00246B52"/>
    <w:rsid w:val="00246EBE"/>
    <w:rsid w:val="00246EED"/>
    <w:rsid w:val="00247013"/>
    <w:rsid w:val="00247759"/>
    <w:rsid w:val="00247809"/>
    <w:rsid w:val="00247F6F"/>
    <w:rsid w:val="0025028C"/>
    <w:rsid w:val="00250578"/>
    <w:rsid w:val="00250915"/>
    <w:rsid w:val="00251636"/>
    <w:rsid w:val="002518CA"/>
    <w:rsid w:val="00251C9A"/>
    <w:rsid w:val="00252033"/>
    <w:rsid w:val="00252360"/>
    <w:rsid w:val="0025299A"/>
    <w:rsid w:val="00252B08"/>
    <w:rsid w:val="00252BC1"/>
    <w:rsid w:val="00252DEC"/>
    <w:rsid w:val="0025308C"/>
    <w:rsid w:val="002531C5"/>
    <w:rsid w:val="002531D5"/>
    <w:rsid w:val="0025372F"/>
    <w:rsid w:val="00253E32"/>
    <w:rsid w:val="00254094"/>
    <w:rsid w:val="002548F3"/>
    <w:rsid w:val="00254E09"/>
    <w:rsid w:val="002555C3"/>
    <w:rsid w:val="002559ED"/>
    <w:rsid w:val="00255BB4"/>
    <w:rsid w:val="00256293"/>
    <w:rsid w:val="002562EC"/>
    <w:rsid w:val="0025669A"/>
    <w:rsid w:val="002568B7"/>
    <w:rsid w:val="00256DE4"/>
    <w:rsid w:val="00256F35"/>
    <w:rsid w:val="00256FB7"/>
    <w:rsid w:val="00257261"/>
    <w:rsid w:val="0025735B"/>
    <w:rsid w:val="00257699"/>
    <w:rsid w:val="00257FC7"/>
    <w:rsid w:val="002602C8"/>
    <w:rsid w:val="002606B1"/>
    <w:rsid w:val="0026090F"/>
    <w:rsid w:val="00260C23"/>
    <w:rsid w:val="00260EB6"/>
    <w:rsid w:val="002611A0"/>
    <w:rsid w:val="002613C2"/>
    <w:rsid w:val="00261420"/>
    <w:rsid w:val="00261E6E"/>
    <w:rsid w:val="002620A7"/>
    <w:rsid w:val="00262541"/>
    <w:rsid w:val="002629C0"/>
    <w:rsid w:val="0026334F"/>
    <w:rsid w:val="0026369F"/>
    <w:rsid w:val="00263832"/>
    <w:rsid w:val="0026398F"/>
    <w:rsid w:val="00263E9C"/>
    <w:rsid w:val="00263ED7"/>
    <w:rsid w:val="00264159"/>
    <w:rsid w:val="002641CA"/>
    <w:rsid w:val="00264363"/>
    <w:rsid w:val="00264450"/>
    <w:rsid w:val="00264D0A"/>
    <w:rsid w:val="002656F6"/>
    <w:rsid w:val="00265918"/>
    <w:rsid w:val="00266328"/>
    <w:rsid w:val="002666E9"/>
    <w:rsid w:val="002667DC"/>
    <w:rsid w:val="0026682D"/>
    <w:rsid w:val="002668B3"/>
    <w:rsid w:val="00266E6B"/>
    <w:rsid w:val="00267088"/>
    <w:rsid w:val="002676BB"/>
    <w:rsid w:val="00267D2D"/>
    <w:rsid w:val="0027028A"/>
    <w:rsid w:val="002706D5"/>
    <w:rsid w:val="0027110D"/>
    <w:rsid w:val="002712DB"/>
    <w:rsid w:val="00271FE8"/>
    <w:rsid w:val="002720EF"/>
    <w:rsid w:val="002722C5"/>
    <w:rsid w:val="00272418"/>
    <w:rsid w:val="00272658"/>
    <w:rsid w:val="002726D1"/>
    <w:rsid w:val="0027277C"/>
    <w:rsid w:val="002727D9"/>
    <w:rsid w:val="00272C00"/>
    <w:rsid w:val="002735A8"/>
    <w:rsid w:val="00273700"/>
    <w:rsid w:val="00273798"/>
    <w:rsid w:val="0027407C"/>
    <w:rsid w:val="00274A75"/>
    <w:rsid w:val="00275178"/>
    <w:rsid w:val="00275713"/>
    <w:rsid w:val="00275BA9"/>
    <w:rsid w:val="00276935"/>
    <w:rsid w:val="00276B7F"/>
    <w:rsid w:val="00276C6A"/>
    <w:rsid w:val="00276DC9"/>
    <w:rsid w:val="00276F72"/>
    <w:rsid w:val="0027704C"/>
    <w:rsid w:val="002771F3"/>
    <w:rsid w:val="00277344"/>
    <w:rsid w:val="00277B23"/>
    <w:rsid w:val="00280976"/>
    <w:rsid w:val="002809C9"/>
    <w:rsid w:val="00280ACA"/>
    <w:rsid w:val="00280AD8"/>
    <w:rsid w:val="00280C4A"/>
    <w:rsid w:val="00281092"/>
    <w:rsid w:val="002812B3"/>
    <w:rsid w:val="00281557"/>
    <w:rsid w:val="00281719"/>
    <w:rsid w:val="00281B75"/>
    <w:rsid w:val="00281BA0"/>
    <w:rsid w:val="00281E52"/>
    <w:rsid w:val="00282701"/>
    <w:rsid w:val="00282749"/>
    <w:rsid w:val="00282A2B"/>
    <w:rsid w:val="00282B67"/>
    <w:rsid w:val="00282D71"/>
    <w:rsid w:val="00284576"/>
    <w:rsid w:val="0028457E"/>
    <w:rsid w:val="00284807"/>
    <w:rsid w:val="00284A97"/>
    <w:rsid w:val="002853BE"/>
    <w:rsid w:val="00285B6F"/>
    <w:rsid w:val="00285DCC"/>
    <w:rsid w:val="00285EAF"/>
    <w:rsid w:val="0028654E"/>
    <w:rsid w:val="00286680"/>
    <w:rsid w:val="0028675E"/>
    <w:rsid w:val="002873BC"/>
    <w:rsid w:val="002874F0"/>
    <w:rsid w:val="00287744"/>
    <w:rsid w:val="002879FF"/>
    <w:rsid w:val="00287A63"/>
    <w:rsid w:val="00287C7C"/>
    <w:rsid w:val="00287D57"/>
    <w:rsid w:val="00290658"/>
    <w:rsid w:val="00291002"/>
    <w:rsid w:val="00291413"/>
    <w:rsid w:val="0029190F"/>
    <w:rsid w:val="00291AF8"/>
    <w:rsid w:val="00291EBC"/>
    <w:rsid w:val="002927AF"/>
    <w:rsid w:val="002933A2"/>
    <w:rsid w:val="0029391F"/>
    <w:rsid w:val="00294183"/>
    <w:rsid w:val="002943C8"/>
    <w:rsid w:val="00294694"/>
    <w:rsid w:val="00294728"/>
    <w:rsid w:val="00294879"/>
    <w:rsid w:val="00294B50"/>
    <w:rsid w:val="00294D36"/>
    <w:rsid w:val="002951A6"/>
    <w:rsid w:val="002955A0"/>
    <w:rsid w:val="002957F5"/>
    <w:rsid w:val="00295926"/>
    <w:rsid w:val="00295BC8"/>
    <w:rsid w:val="00295D68"/>
    <w:rsid w:val="00296064"/>
    <w:rsid w:val="0029628F"/>
    <w:rsid w:val="00296739"/>
    <w:rsid w:val="00296A63"/>
    <w:rsid w:val="00296B5D"/>
    <w:rsid w:val="00297397"/>
    <w:rsid w:val="0029767A"/>
    <w:rsid w:val="0029776E"/>
    <w:rsid w:val="00297782"/>
    <w:rsid w:val="0029784F"/>
    <w:rsid w:val="002A012D"/>
    <w:rsid w:val="002A04C2"/>
    <w:rsid w:val="002A11F2"/>
    <w:rsid w:val="002A15C3"/>
    <w:rsid w:val="002A17B6"/>
    <w:rsid w:val="002A1B45"/>
    <w:rsid w:val="002A1EC9"/>
    <w:rsid w:val="002A2120"/>
    <w:rsid w:val="002A2B60"/>
    <w:rsid w:val="002A2C32"/>
    <w:rsid w:val="002A3567"/>
    <w:rsid w:val="002A3641"/>
    <w:rsid w:val="002A3DBD"/>
    <w:rsid w:val="002A4CC6"/>
    <w:rsid w:val="002A4D87"/>
    <w:rsid w:val="002A5256"/>
    <w:rsid w:val="002A555E"/>
    <w:rsid w:val="002A687A"/>
    <w:rsid w:val="002A72BF"/>
    <w:rsid w:val="002A784F"/>
    <w:rsid w:val="002B0803"/>
    <w:rsid w:val="002B08C1"/>
    <w:rsid w:val="002B09A3"/>
    <w:rsid w:val="002B1B3D"/>
    <w:rsid w:val="002B1C10"/>
    <w:rsid w:val="002B1E4A"/>
    <w:rsid w:val="002B260A"/>
    <w:rsid w:val="002B26FC"/>
    <w:rsid w:val="002B2C68"/>
    <w:rsid w:val="002B333B"/>
    <w:rsid w:val="002B378B"/>
    <w:rsid w:val="002B3971"/>
    <w:rsid w:val="002B445A"/>
    <w:rsid w:val="002B4B2A"/>
    <w:rsid w:val="002B4BC2"/>
    <w:rsid w:val="002B4D85"/>
    <w:rsid w:val="002B5712"/>
    <w:rsid w:val="002B6204"/>
    <w:rsid w:val="002B6E88"/>
    <w:rsid w:val="002B6FD5"/>
    <w:rsid w:val="002B7B5E"/>
    <w:rsid w:val="002B7C20"/>
    <w:rsid w:val="002B7DCF"/>
    <w:rsid w:val="002B7F54"/>
    <w:rsid w:val="002B7FCA"/>
    <w:rsid w:val="002C0170"/>
    <w:rsid w:val="002C0654"/>
    <w:rsid w:val="002C0690"/>
    <w:rsid w:val="002C1847"/>
    <w:rsid w:val="002C191F"/>
    <w:rsid w:val="002C1BED"/>
    <w:rsid w:val="002C1DAC"/>
    <w:rsid w:val="002C1F04"/>
    <w:rsid w:val="002C1F1B"/>
    <w:rsid w:val="002C2754"/>
    <w:rsid w:val="002C2B3A"/>
    <w:rsid w:val="002C2B6C"/>
    <w:rsid w:val="002C2ED9"/>
    <w:rsid w:val="002C30F2"/>
    <w:rsid w:val="002C33D3"/>
    <w:rsid w:val="002C349E"/>
    <w:rsid w:val="002C48D5"/>
    <w:rsid w:val="002C4A7E"/>
    <w:rsid w:val="002C4B40"/>
    <w:rsid w:val="002C4FF5"/>
    <w:rsid w:val="002C5E74"/>
    <w:rsid w:val="002C60EB"/>
    <w:rsid w:val="002C6CB7"/>
    <w:rsid w:val="002C71D9"/>
    <w:rsid w:val="002C7371"/>
    <w:rsid w:val="002C763A"/>
    <w:rsid w:val="002C79D0"/>
    <w:rsid w:val="002D002C"/>
    <w:rsid w:val="002D0776"/>
    <w:rsid w:val="002D14D4"/>
    <w:rsid w:val="002D1C87"/>
    <w:rsid w:val="002D1D7E"/>
    <w:rsid w:val="002D1DEA"/>
    <w:rsid w:val="002D1F1E"/>
    <w:rsid w:val="002D2908"/>
    <w:rsid w:val="002D2B77"/>
    <w:rsid w:val="002D35EB"/>
    <w:rsid w:val="002D39D9"/>
    <w:rsid w:val="002D3AA3"/>
    <w:rsid w:val="002D4B90"/>
    <w:rsid w:val="002D4C87"/>
    <w:rsid w:val="002D5A94"/>
    <w:rsid w:val="002D5B4D"/>
    <w:rsid w:val="002D5F4F"/>
    <w:rsid w:val="002D6455"/>
    <w:rsid w:val="002D7485"/>
    <w:rsid w:val="002D7D58"/>
    <w:rsid w:val="002E04C9"/>
    <w:rsid w:val="002E076F"/>
    <w:rsid w:val="002E11CF"/>
    <w:rsid w:val="002E13D6"/>
    <w:rsid w:val="002E14D3"/>
    <w:rsid w:val="002E16F1"/>
    <w:rsid w:val="002E1C3C"/>
    <w:rsid w:val="002E1CAB"/>
    <w:rsid w:val="002E2531"/>
    <w:rsid w:val="002E2E9E"/>
    <w:rsid w:val="002E3E30"/>
    <w:rsid w:val="002E4011"/>
    <w:rsid w:val="002E40C7"/>
    <w:rsid w:val="002E4127"/>
    <w:rsid w:val="002E458A"/>
    <w:rsid w:val="002E4AF2"/>
    <w:rsid w:val="002E4ED2"/>
    <w:rsid w:val="002E4F87"/>
    <w:rsid w:val="002E544C"/>
    <w:rsid w:val="002E56C0"/>
    <w:rsid w:val="002E58FF"/>
    <w:rsid w:val="002E5AE9"/>
    <w:rsid w:val="002E606E"/>
    <w:rsid w:val="002E6095"/>
    <w:rsid w:val="002E65AB"/>
    <w:rsid w:val="002E6C41"/>
    <w:rsid w:val="002E6C67"/>
    <w:rsid w:val="002E6CA8"/>
    <w:rsid w:val="002E6CF7"/>
    <w:rsid w:val="002E7160"/>
    <w:rsid w:val="002E7821"/>
    <w:rsid w:val="002E7C3F"/>
    <w:rsid w:val="002F0223"/>
    <w:rsid w:val="002F0AEE"/>
    <w:rsid w:val="002F0E4A"/>
    <w:rsid w:val="002F0E62"/>
    <w:rsid w:val="002F1009"/>
    <w:rsid w:val="002F13A4"/>
    <w:rsid w:val="002F149E"/>
    <w:rsid w:val="002F1D1B"/>
    <w:rsid w:val="002F1F56"/>
    <w:rsid w:val="002F2173"/>
    <w:rsid w:val="002F2C3D"/>
    <w:rsid w:val="002F2CE2"/>
    <w:rsid w:val="002F2D57"/>
    <w:rsid w:val="002F3264"/>
    <w:rsid w:val="002F3278"/>
    <w:rsid w:val="002F3A2B"/>
    <w:rsid w:val="002F43C0"/>
    <w:rsid w:val="002F445B"/>
    <w:rsid w:val="002F488D"/>
    <w:rsid w:val="002F57E3"/>
    <w:rsid w:val="002F5961"/>
    <w:rsid w:val="002F596D"/>
    <w:rsid w:val="002F5D6D"/>
    <w:rsid w:val="002F5EEA"/>
    <w:rsid w:val="002F6ADE"/>
    <w:rsid w:val="002F71AC"/>
    <w:rsid w:val="002F745A"/>
    <w:rsid w:val="002F7600"/>
    <w:rsid w:val="002F7FE1"/>
    <w:rsid w:val="00300640"/>
    <w:rsid w:val="00301975"/>
    <w:rsid w:val="00301A00"/>
    <w:rsid w:val="00301B0E"/>
    <w:rsid w:val="00301FBE"/>
    <w:rsid w:val="00302877"/>
    <w:rsid w:val="00302948"/>
    <w:rsid w:val="00302FD1"/>
    <w:rsid w:val="0030343A"/>
    <w:rsid w:val="00303AB4"/>
    <w:rsid w:val="0030437F"/>
    <w:rsid w:val="003048AE"/>
    <w:rsid w:val="00304FCE"/>
    <w:rsid w:val="0030521A"/>
    <w:rsid w:val="00305654"/>
    <w:rsid w:val="00305B86"/>
    <w:rsid w:val="0030651E"/>
    <w:rsid w:val="00307011"/>
    <w:rsid w:val="00307147"/>
    <w:rsid w:val="003072E7"/>
    <w:rsid w:val="00307B52"/>
    <w:rsid w:val="0031054C"/>
    <w:rsid w:val="00310DCF"/>
    <w:rsid w:val="00310DD7"/>
    <w:rsid w:val="00311C99"/>
    <w:rsid w:val="00311F34"/>
    <w:rsid w:val="00311F40"/>
    <w:rsid w:val="00311F4D"/>
    <w:rsid w:val="00311F62"/>
    <w:rsid w:val="0031202F"/>
    <w:rsid w:val="003124DA"/>
    <w:rsid w:val="003124F6"/>
    <w:rsid w:val="003131B7"/>
    <w:rsid w:val="00313272"/>
    <w:rsid w:val="00313454"/>
    <w:rsid w:val="00313A93"/>
    <w:rsid w:val="00313B58"/>
    <w:rsid w:val="00313F2A"/>
    <w:rsid w:val="0031415F"/>
    <w:rsid w:val="0031439F"/>
    <w:rsid w:val="0031460B"/>
    <w:rsid w:val="00314C47"/>
    <w:rsid w:val="00314C78"/>
    <w:rsid w:val="00314DA5"/>
    <w:rsid w:val="00315B22"/>
    <w:rsid w:val="00315BBC"/>
    <w:rsid w:val="00315C76"/>
    <w:rsid w:val="00316268"/>
    <w:rsid w:val="003168B5"/>
    <w:rsid w:val="00316940"/>
    <w:rsid w:val="00316EAE"/>
    <w:rsid w:val="00320033"/>
    <w:rsid w:val="0032068B"/>
    <w:rsid w:val="00320AB3"/>
    <w:rsid w:val="00320DE1"/>
    <w:rsid w:val="00321553"/>
    <w:rsid w:val="0032160E"/>
    <w:rsid w:val="00321A53"/>
    <w:rsid w:val="00321C28"/>
    <w:rsid w:val="00321D36"/>
    <w:rsid w:val="00321DED"/>
    <w:rsid w:val="00321ECD"/>
    <w:rsid w:val="00321F5A"/>
    <w:rsid w:val="003221ED"/>
    <w:rsid w:val="0032253E"/>
    <w:rsid w:val="00322575"/>
    <w:rsid w:val="0032271C"/>
    <w:rsid w:val="00322E3B"/>
    <w:rsid w:val="00322F8A"/>
    <w:rsid w:val="00323121"/>
    <w:rsid w:val="00323A14"/>
    <w:rsid w:val="003243AF"/>
    <w:rsid w:val="00324BB3"/>
    <w:rsid w:val="00324C9C"/>
    <w:rsid w:val="0032510A"/>
    <w:rsid w:val="00325A3D"/>
    <w:rsid w:val="00326031"/>
    <w:rsid w:val="003262AB"/>
    <w:rsid w:val="00326721"/>
    <w:rsid w:val="0032688A"/>
    <w:rsid w:val="00326D62"/>
    <w:rsid w:val="00326E7A"/>
    <w:rsid w:val="00327166"/>
    <w:rsid w:val="003272E5"/>
    <w:rsid w:val="00327578"/>
    <w:rsid w:val="0032757E"/>
    <w:rsid w:val="003278C1"/>
    <w:rsid w:val="00327AB3"/>
    <w:rsid w:val="00327B9A"/>
    <w:rsid w:val="00330027"/>
    <w:rsid w:val="003300FA"/>
    <w:rsid w:val="0033043F"/>
    <w:rsid w:val="003305C1"/>
    <w:rsid w:val="00330B40"/>
    <w:rsid w:val="00330D61"/>
    <w:rsid w:val="003311CC"/>
    <w:rsid w:val="00331941"/>
    <w:rsid w:val="00331C1B"/>
    <w:rsid w:val="00331C5A"/>
    <w:rsid w:val="00331D0F"/>
    <w:rsid w:val="00332A9F"/>
    <w:rsid w:val="00332AFA"/>
    <w:rsid w:val="00332C76"/>
    <w:rsid w:val="00332FD5"/>
    <w:rsid w:val="00333E6E"/>
    <w:rsid w:val="003341E2"/>
    <w:rsid w:val="00334716"/>
    <w:rsid w:val="0033505B"/>
    <w:rsid w:val="003351CA"/>
    <w:rsid w:val="00335853"/>
    <w:rsid w:val="003358E2"/>
    <w:rsid w:val="003358E7"/>
    <w:rsid w:val="00335ABD"/>
    <w:rsid w:val="00335B4D"/>
    <w:rsid w:val="00335DC3"/>
    <w:rsid w:val="00335FE9"/>
    <w:rsid w:val="00336740"/>
    <w:rsid w:val="00336748"/>
    <w:rsid w:val="0033726C"/>
    <w:rsid w:val="00337A29"/>
    <w:rsid w:val="00337BE4"/>
    <w:rsid w:val="00337C7E"/>
    <w:rsid w:val="0033C93B"/>
    <w:rsid w:val="00340B8F"/>
    <w:rsid w:val="003410A7"/>
    <w:rsid w:val="00341261"/>
    <w:rsid w:val="003419CA"/>
    <w:rsid w:val="00341EF7"/>
    <w:rsid w:val="00341FDC"/>
    <w:rsid w:val="0034251F"/>
    <w:rsid w:val="00342946"/>
    <w:rsid w:val="00342A6C"/>
    <w:rsid w:val="0034303C"/>
    <w:rsid w:val="00343EEE"/>
    <w:rsid w:val="003442CA"/>
    <w:rsid w:val="003443D4"/>
    <w:rsid w:val="00344485"/>
    <w:rsid w:val="00344490"/>
    <w:rsid w:val="00344EF1"/>
    <w:rsid w:val="003455A5"/>
    <w:rsid w:val="0034743A"/>
    <w:rsid w:val="0034769F"/>
    <w:rsid w:val="00347E2C"/>
    <w:rsid w:val="00347E65"/>
    <w:rsid w:val="00350326"/>
    <w:rsid w:val="00350E25"/>
    <w:rsid w:val="003514A8"/>
    <w:rsid w:val="00351F6B"/>
    <w:rsid w:val="0035261A"/>
    <w:rsid w:val="003528AF"/>
    <w:rsid w:val="00352947"/>
    <w:rsid w:val="003529B8"/>
    <w:rsid w:val="00352AD1"/>
    <w:rsid w:val="003532F3"/>
    <w:rsid w:val="00353320"/>
    <w:rsid w:val="003536F2"/>
    <w:rsid w:val="003536F8"/>
    <w:rsid w:val="00354F89"/>
    <w:rsid w:val="00354F90"/>
    <w:rsid w:val="003554CA"/>
    <w:rsid w:val="00355631"/>
    <w:rsid w:val="00355641"/>
    <w:rsid w:val="00356580"/>
    <w:rsid w:val="003567E0"/>
    <w:rsid w:val="00356DEF"/>
    <w:rsid w:val="00356F8F"/>
    <w:rsid w:val="003570BE"/>
    <w:rsid w:val="00357280"/>
    <w:rsid w:val="00357608"/>
    <w:rsid w:val="003578AA"/>
    <w:rsid w:val="00357B1D"/>
    <w:rsid w:val="00357BE0"/>
    <w:rsid w:val="00360334"/>
    <w:rsid w:val="00361063"/>
    <w:rsid w:val="003616A2"/>
    <w:rsid w:val="00361B74"/>
    <w:rsid w:val="00361F52"/>
    <w:rsid w:val="0036251C"/>
    <w:rsid w:val="0036280B"/>
    <w:rsid w:val="003632C9"/>
    <w:rsid w:val="00363440"/>
    <w:rsid w:val="003636F8"/>
    <w:rsid w:val="003637A7"/>
    <w:rsid w:val="00364186"/>
    <w:rsid w:val="0036441C"/>
    <w:rsid w:val="00364D0D"/>
    <w:rsid w:val="00364E10"/>
    <w:rsid w:val="00365034"/>
    <w:rsid w:val="00365085"/>
    <w:rsid w:val="00365499"/>
    <w:rsid w:val="0036593B"/>
    <w:rsid w:val="003659F9"/>
    <w:rsid w:val="00365A2B"/>
    <w:rsid w:val="00365AD8"/>
    <w:rsid w:val="00365BD9"/>
    <w:rsid w:val="00366618"/>
    <w:rsid w:val="00366C1D"/>
    <w:rsid w:val="00366E5F"/>
    <w:rsid w:val="0036709B"/>
    <w:rsid w:val="00367403"/>
    <w:rsid w:val="00367B20"/>
    <w:rsid w:val="00367C97"/>
    <w:rsid w:val="00367D50"/>
    <w:rsid w:val="00367DB5"/>
    <w:rsid w:val="00367EAE"/>
    <w:rsid w:val="003703DC"/>
    <w:rsid w:val="00370AE1"/>
    <w:rsid w:val="00370E7E"/>
    <w:rsid w:val="00370F2C"/>
    <w:rsid w:val="0037125C"/>
    <w:rsid w:val="00371AB5"/>
    <w:rsid w:val="003725FE"/>
    <w:rsid w:val="00372707"/>
    <w:rsid w:val="00372B55"/>
    <w:rsid w:val="00373646"/>
    <w:rsid w:val="003737DD"/>
    <w:rsid w:val="00373914"/>
    <w:rsid w:val="003743A3"/>
    <w:rsid w:val="00374530"/>
    <w:rsid w:val="00374746"/>
    <w:rsid w:val="00374B38"/>
    <w:rsid w:val="0037519C"/>
    <w:rsid w:val="00375276"/>
    <w:rsid w:val="0037544F"/>
    <w:rsid w:val="0037566B"/>
    <w:rsid w:val="003756BE"/>
    <w:rsid w:val="0037642C"/>
    <w:rsid w:val="0037706C"/>
    <w:rsid w:val="003775F2"/>
    <w:rsid w:val="003776ED"/>
    <w:rsid w:val="003778EE"/>
    <w:rsid w:val="0037790F"/>
    <w:rsid w:val="00377BB3"/>
    <w:rsid w:val="0038075F"/>
    <w:rsid w:val="00380AFC"/>
    <w:rsid w:val="0038181F"/>
    <w:rsid w:val="00382456"/>
    <w:rsid w:val="00382608"/>
    <w:rsid w:val="00382985"/>
    <w:rsid w:val="00382CE8"/>
    <w:rsid w:val="00382E32"/>
    <w:rsid w:val="00384448"/>
    <w:rsid w:val="00384709"/>
    <w:rsid w:val="00384868"/>
    <w:rsid w:val="00384CB0"/>
    <w:rsid w:val="00384F84"/>
    <w:rsid w:val="003856C9"/>
    <w:rsid w:val="00386218"/>
    <w:rsid w:val="003866C0"/>
    <w:rsid w:val="00386700"/>
    <w:rsid w:val="00386870"/>
    <w:rsid w:val="0038700F"/>
    <w:rsid w:val="00387061"/>
    <w:rsid w:val="0038718B"/>
    <w:rsid w:val="003875E1"/>
    <w:rsid w:val="00387B88"/>
    <w:rsid w:val="003902CB"/>
    <w:rsid w:val="00390942"/>
    <w:rsid w:val="003909BD"/>
    <w:rsid w:val="00390E1E"/>
    <w:rsid w:val="003911FE"/>
    <w:rsid w:val="00391549"/>
    <w:rsid w:val="00391790"/>
    <w:rsid w:val="003919CB"/>
    <w:rsid w:val="00391C28"/>
    <w:rsid w:val="00392543"/>
    <w:rsid w:val="00392E18"/>
    <w:rsid w:val="00392F20"/>
    <w:rsid w:val="003937E3"/>
    <w:rsid w:val="00393C6E"/>
    <w:rsid w:val="00393D83"/>
    <w:rsid w:val="00394BBF"/>
    <w:rsid w:val="00395878"/>
    <w:rsid w:val="00395B53"/>
    <w:rsid w:val="00395B72"/>
    <w:rsid w:val="003963C6"/>
    <w:rsid w:val="003966AA"/>
    <w:rsid w:val="003971AC"/>
    <w:rsid w:val="003A0048"/>
    <w:rsid w:val="003A0AF7"/>
    <w:rsid w:val="003A0B5B"/>
    <w:rsid w:val="003A158F"/>
    <w:rsid w:val="003A17D8"/>
    <w:rsid w:val="003A1D9F"/>
    <w:rsid w:val="003A1E5E"/>
    <w:rsid w:val="003A260F"/>
    <w:rsid w:val="003A2D7C"/>
    <w:rsid w:val="003A2FAE"/>
    <w:rsid w:val="003A30BE"/>
    <w:rsid w:val="003A31F8"/>
    <w:rsid w:val="003A3D86"/>
    <w:rsid w:val="003A426F"/>
    <w:rsid w:val="003A4489"/>
    <w:rsid w:val="003A44D3"/>
    <w:rsid w:val="003A5082"/>
    <w:rsid w:val="003A56A1"/>
    <w:rsid w:val="003A5803"/>
    <w:rsid w:val="003A5B46"/>
    <w:rsid w:val="003A5FF4"/>
    <w:rsid w:val="003A6773"/>
    <w:rsid w:val="003A6B6E"/>
    <w:rsid w:val="003A6C45"/>
    <w:rsid w:val="003A6F4D"/>
    <w:rsid w:val="003A6FB5"/>
    <w:rsid w:val="003B00C6"/>
    <w:rsid w:val="003B019D"/>
    <w:rsid w:val="003B072C"/>
    <w:rsid w:val="003B075B"/>
    <w:rsid w:val="003B09C3"/>
    <w:rsid w:val="003B09E5"/>
    <w:rsid w:val="003B0DA9"/>
    <w:rsid w:val="003B0F49"/>
    <w:rsid w:val="003B0FCC"/>
    <w:rsid w:val="003B10F4"/>
    <w:rsid w:val="003B1983"/>
    <w:rsid w:val="003B1A43"/>
    <w:rsid w:val="003B1BB1"/>
    <w:rsid w:val="003B1E14"/>
    <w:rsid w:val="003B21AE"/>
    <w:rsid w:val="003B251D"/>
    <w:rsid w:val="003B2C4A"/>
    <w:rsid w:val="003B3015"/>
    <w:rsid w:val="003B3762"/>
    <w:rsid w:val="003B3950"/>
    <w:rsid w:val="003B3C68"/>
    <w:rsid w:val="003B4547"/>
    <w:rsid w:val="003B454D"/>
    <w:rsid w:val="003B4B96"/>
    <w:rsid w:val="003B4E58"/>
    <w:rsid w:val="003B4F21"/>
    <w:rsid w:val="003B50D3"/>
    <w:rsid w:val="003B5313"/>
    <w:rsid w:val="003B564E"/>
    <w:rsid w:val="003B6047"/>
    <w:rsid w:val="003B6089"/>
    <w:rsid w:val="003B6560"/>
    <w:rsid w:val="003B65AD"/>
    <w:rsid w:val="003B6F63"/>
    <w:rsid w:val="003B7187"/>
    <w:rsid w:val="003B7431"/>
    <w:rsid w:val="003B7569"/>
    <w:rsid w:val="003B7937"/>
    <w:rsid w:val="003B7C3D"/>
    <w:rsid w:val="003B7FBF"/>
    <w:rsid w:val="003C00C6"/>
    <w:rsid w:val="003C0182"/>
    <w:rsid w:val="003C04DD"/>
    <w:rsid w:val="003C0CD7"/>
    <w:rsid w:val="003C0E13"/>
    <w:rsid w:val="003C12A0"/>
    <w:rsid w:val="003C20E7"/>
    <w:rsid w:val="003C24BD"/>
    <w:rsid w:val="003C2676"/>
    <w:rsid w:val="003C2B77"/>
    <w:rsid w:val="003C2D28"/>
    <w:rsid w:val="003C32D9"/>
    <w:rsid w:val="003C3445"/>
    <w:rsid w:val="003C3534"/>
    <w:rsid w:val="003C35D7"/>
    <w:rsid w:val="003C3986"/>
    <w:rsid w:val="003C4495"/>
    <w:rsid w:val="003C488B"/>
    <w:rsid w:val="003C4EDD"/>
    <w:rsid w:val="003C5203"/>
    <w:rsid w:val="003C5470"/>
    <w:rsid w:val="003C547B"/>
    <w:rsid w:val="003C5633"/>
    <w:rsid w:val="003C5A29"/>
    <w:rsid w:val="003C5C45"/>
    <w:rsid w:val="003C6252"/>
    <w:rsid w:val="003C691E"/>
    <w:rsid w:val="003C71BB"/>
    <w:rsid w:val="003C7748"/>
    <w:rsid w:val="003C78F4"/>
    <w:rsid w:val="003C7B30"/>
    <w:rsid w:val="003D02E8"/>
    <w:rsid w:val="003D0612"/>
    <w:rsid w:val="003D08CF"/>
    <w:rsid w:val="003D11AB"/>
    <w:rsid w:val="003D17A7"/>
    <w:rsid w:val="003D17FC"/>
    <w:rsid w:val="003D1F6C"/>
    <w:rsid w:val="003D1FA4"/>
    <w:rsid w:val="003D2960"/>
    <w:rsid w:val="003D3979"/>
    <w:rsid w:val="003D3A62"/>
    <w:rsid w:val="003D3AAC"/>
    <w:rsid w:val="003D3AF8"/>
    <w:rsid w:val="003D3B3F"/>
    <w:rsid w:val="003D3FF4"/>
    <w:rsid w:val="003D40A5"/>
    <w:rsid w:val="003D42EA"/>
    <w:rsid w:val="003D4A41"/>
    <w:rsid w:val="003D512F"/>
    <w:rsid w:val="003D5324"/>
    <w:rsid w:val="003D595C"/>
    <w:rsid w:val="003D59E5"/>
    <w:rsid w:val="003D63BB"/>
    <w:rsid w:val="003D66F7"/>
    <w:rsid w:val="003D6D01"/>
    <w:rsid w:val="003D7A92"/>
    <w:rsid w:val="003E080D"/>
    <w:rsid w:val="003E0F0F"/>
    <w:rsid w:val="003E12B9"/>
    <w:rsid w:val="003E19FC"/>
    <w:rsid w:val="003E21A3"/>
    <w:rsid w:val="003E2A1A"/>
    <w:rsid w:val="003E2A2D"/>
    <w:rsid w:val="003E2F35"/>
    <w:rsid w:val="003E3043"/>
    <w:rsid w:val="003E3152"/>
    <w:rsid w:val="003E347F"/>
    <w:rsid w:val="003E36CC"/>
    <w:rsid w:val="003E3A06"/>
    <w:rsid w:val="003E3B6F"/>
    <w:rsid w:val="003E3C67"/>
    <w:rsid w:val="003E3CE1"/>
    <w:rsid w:val="003E47EB"/>
    <w:rsid w:val="003E48EB"/>
    <w:rsid w:val="003E5176"/>
    <w:rsid w:val="003E5202"/>
    <w:rsid w:val="003E53DB"/>
    <w:rsid w:val="003E5A9C"/>
    <w:rsid w:val="003E6366"/>
    <w:rsid w:val="003E6649"/>
    <w:rsid w:val="003E6A23"/>
    <w:rsid w:val="003E6A2D"/>
    <w:rsid w:val="003E6D62"/>
    <w:rsid w:val="003E7665"/>
    <w:rsid w:val="003E79E3"/>
    <w:rsid w:val="003F0553"/>
    <w:rsid w:val="003F05B8"/>
    <w:rsid w:val="003F0738"/>
    <w:rsid w:val="003F0B77"/>
    <w:rsid w:val="003F0FDC"/>
    <w:rsid w:val="003F1752"/>
    <w:rsid w:val="003F1B52"/>
    <w:rsid w:val="003F213F"/>
    <w:rsid w:val="003F2321"/>
    <w:rsid w:val="003F2323"/>
    <w:rsid w:val="003F2666"/>
    <w:rsid w:val="003F2750"/>
    <w:rsid w:val="003F275D"/>
    <w:rsid w:val="003F30A9"/>
    <w:rsid w:val="003F3104"/>
    <w:rsid w:val="003F31D4"/>
    <w:rsid w:val="003F32BE"/>
    <w:rsid w:val="003F3477"/>
    <w:rsid w:val="003F3489"/>
    <w:rsid w:val="003F3700"/>
    <w:rsid w:val="003F3AF4"/>
    <w:rsid w:val="003F3F2C"/>
    <w:rsid w:val="003F40F3"/>
    <w:rsid w:val="003F444D"/>
    <w:rsid w:val="003F446B"/>
    <w:rsid w:val="003F47E0"/>
    <w:rsid w:val="003F49A2"/>
    <w:rsid w:val="003F4B2B"/>
    <w:rsid w:val="003F4DDA"/>
    <w:rsid w:val="003F6021"/>
    <w:rsid w:val="003F6418"/>
    <w:rsid w:val="003F6474"/>
    <w:rsid w:val="003F6730"/>
    <w:rsid w:val="003F69F4"/>
    <w:rsid w:val="003F6C5F"/>
    <w:rsid w:val="003F6D49"/>
    <w:rsid w:val="003F7082"/>
    <w:rsid w:val="003F710F"/>
    <w:rsid w:val="003F720A"/>
    <w:rsid w:val="003F73A5"/>
    <w:rsid w:val="003F7CD3"/>
    <w:rsid w:val="003F7DAA"/>
    <w:rsid w:val="004000E4"/>
    <w:rsid w:val="0040057F"/>
    <w:rsid w:val="00400797"/>
    <w:rsid w:val="00400849"/>
    <w:rsid w:val="00401382"/>
    <w:rsid w:val="004013EC"/>
    <w:rsid w:val="00401958"/>
    <w:rsid w:val="00402042"/>
    <w:rsid w:val="00402131"/>
    <w:rsid w:val="0040265B"/>
    <w:rsid w:val="004027FF"/>
    <w:rsid w:val="00402A30"/>
    <w:rsid w:val="00402A74"/>
    <w:rsid w:val="00402BA0"/>
    <w:rsid w:val="004032FD"/>
    <w:rsid w:val="00403524"/>
    <w:rsid w:val="0040358D"/>
    <w:rsid w:val="00404253"/>
    <w:rsid w:val="00404592"/>
    <w:rsid w:val="00404D2A"/>
    <w:rsid w:val="00404D61"/>
    <w:rsid w:val="00404DF1"/>
    <w:rsid w:val="0040588A"/>
    <w:rsid w:val="00405BCF"/>
    <w:rsid w:val="00405D2C"/>
    <w:rsid w:val="004064D0"/>
    <w:rsid w:val="00406519"/>
    <w:rsid w:val="004066BE"/>
    <w:rsid w:val="00407048"/>
    <w:rsid w:val="0040749D"/>
    <w:rsid w:val="0040770C"/>
    <w:rsid w:val="00407848"/>
    <w:rsid w:val="004079BF"/>
    <w:rsid w:val="00407B27"/>
    <w:rsid w:val="00407BF0"/>
    <w:rsid w:val="00407EC3"/>
    <w:rsid w:val="0041044D"/>
    <w:rsid w:val="004105CE"/>
    <w:rsid w:val="00410824"/>
    <w:rsid w:val="00411121"/>
    <w:rsid w:val="0041133E"/>
    <w:rsid w:val="00411A25"/>
    <w:rsid w:val="00411D72"/>
    <w:rsid w:val="00412F9F"/>
    <w:rsid w:val="004130F3"/>
    <w:rsid w:val="004134C2"/>
    <w:rsid w:val="00413B1E"/>
    <w:rsid w:val="004141AF"/>
    <w:rsid w:val="004141F3"/>
    <w:rsid w:val="00414674"/>
    <w:rsid w:val="00414678"/>
    <w:rsid w:val="004148F9"/>
    <w:rsid w:val="00414973"/>
    <w:rsid w:val="004155BD"/>
    <w:rsid w:val="00416022"/>
    <w:rsid w:val="00417196"/>
    <w:rsid w:val="00417348"/>
    <w:rsid w:val="004173AB"/>
    <w:rsid w:val="004178FA"/>
    <w:rsid w:val="00417A74"/>
    <w:rsid w:val="00417A80"/>
    <w:rsid w:val="00417AD5"/>
    <w:rsid w:val="00417B4C"/>
    <w:rsid w:val="00417D9E"/>
    <w:rsid w:val="0042010C"/>
    <w:rsid w:val="00420366"/>
    <w:rsid w:val="00420F04"/>
    <w:rsid w:val="004217A9"/>
    <w:rsid w:val="00421C0D"/>
    <w:rsid w:val="00421F4F"/>
    <w:rsid w:val="00422263"/>
    <w:rsid w:val="00422616"/>
    <w:rsid w:val="004227B0"/>
    <w:rsid w:val="00422E92"/>
    <w:rsid w:val="00422EAB"/>
    <w:rsid w:val="00422EF1"/>
    <w:rsid w:val="0042321C"/>
    <w:rsid w:val="0042330A"/>
    <w:rsid w:val="0042336F"/>
    <w:rsid w:val="0042385A"/>
    <w:rsid w:val="004240F0"/>
    <w:rsid w:val="00424CA5"/>
    <w:rsid w:val="004257C0"/>
    <w:rsid w:val="0042599B"/>
    <w:rsid w:val="00426120"/>
    <w:rsid w:val="00426844"/>
    <w:rsid w:val="0042691C"/>
    <w:rsid w:val="00426F77"/>
    <w:rsid w:val="00427393"/>
    <w:rsid w:val="0042783F"/>
    <w:rsid w:val="00427AB1"/>
    <w:rsid w:val="00427C83"/>
    <w:rsid w:val="00427E32"/>
    <w:rsid w:val="004301BA"/>
    <w:rsid w:val="00430341"/>
    <w:rsid w:val="00430638"/>
    <w:rsid w:val="004306B5"/>
    <w:rsid w:val="0043091E"/>
    <w:rsid w:val="00430B20"/>
    <w:rsid w:val="0043124D"/>
    <w:rsid w:val="004314BC"/>
    <w:rsid w:val="00431B97"/>
    <w:rsid w:val="00431D27"/>
    <w:rsid w:val="00431F38"/>
    <w:rsid w:val="00432515"/>
    <w:rsid w:val="00433184"/>
    <w:rsid w:val="004331E4"/>
    <w:rsid w:val="00433228"/>
    <w:rsid w:val="0043323C"/>
    <w:rsid w:val="00433274"/>
    <w:rsid w:val="00433309"/>
    <w:rsid w:val="00433CBB"/>
    <w:rsid w:val="00433FAE"/>
    <w:rsid w:val="00434929"/>
    <w:rsid w:val="00435155"/>
    <w:rsid w:val="004351C9"/>
    <w:rsid w:val="004354EF"/>
    <w:rsid w:val="00435630"/>
    <w:rsid w:val="0043591E"/>
    <w:rsid w:val="004359E0"/>
    <w:rsid w:val="00435D48"/>
    <w:rsid w:val="0043652D"/>
    <w:rsid w:val="00437035"/>
    <w:rsid w:val="0043724C"/>
    <w:rsid w:val="00437445"/>
    <w:rsid w:val="0043784A"/>
    <w:rsid w:val="00437D77"/>
    <w:rsid w:val="00440727"/>
    <w:rsid w:val="00440A25"/>
    <w:rsid w:val="00440B81"/>
    <w:rsid w:val="00441799"/>
    <w:rsid w:val="0044183E"/>
    <w:rsid w:val="00441FE7"/>
    <w:rsid w:val="00442095"/>
    <w:rsid w:val="00442E67"/>
    <w:rsid w:val="00442F26"/>
    <w:rsid w:val="00443171"/>
    <w:rsid w:val="004432C1"/>
    <w:rsid w:val="004439CD"/>
    <w:rsid w:val="00443F4C"/>
    <w:rsid w:val="004441F4"/>
    <w:rsid w:val="00444C5F"/>
    <w:rsid w:val="00444CA5"/>
    <w:rsid w:val="00445372"/>
    <w:rsid w:val="004453C5"/>
    <w:rsid w:val="004454A1"/>
    <w:rsid w:val="004459C2"/>
    <w:rsid w:val="00445A78"/>
    <w:rsid w:val="00445E50"/>
    <w:rsid w:val="004460F0"/>
    <w:rsid w:val="004464C9"/>
    <w:rsid w:val="0044713F"/>
    <w:rsid w:val="0044778F"/>
    <w:rsid w:val="004477F1"/>
    <w:rsid w:val="00450FB8"/>
    <w:rsid w:val="004513AC"/>
    <w:rsid w:val="00451421"/>
    <w:rsid w:val="0045174E"/>
    <w:rsid w:val="004518B4"/>
    <w:rsid w:val="00451B3B"/>
    <w:rsid w:val="00451C95"/>
    <w:rsid w:val="0045223F"/>
    <w:rsid w:val="004522C9"/>
    <w:rsid w:val="0045279F"/>
    <w:rsid w:val="00452A8D"/>
    <w:rsid w:val="00452B2A"/>
    <w:rsid w:val="00452BB8"/>
    <w:rsid w:val="00453A71"/>
    <w:rsid w:val="00453C7D"/>
    <w:rsid w:val="00454ABC"/>
    <w:rsid w:val="00454F75"/>
    <w:rsid w:val="004551F7"/>
    <w:rsid w:val="00455B94"/>
    <w:rsid w:val="004569B8"/>
    <w:rsid w:val="00457490"/>
    <w:rsid w:val="00457ACF"/>
    <w:rsid w:val="00457B57"/>
    <w:rsid w:val="00457C67"/>
    <w:rsid w:val="00460233"/>
    <w:rsid w:val="004602CD"/>
    <w:rsid w:val="0046054B"/>
    <w:rsid w:val="00460A4C"/>
    <w:rsid w:val="00460A92"/>
    <w:rsid w:val="00461309"/>
    <w:rsid w:val="00461499"/>
    <w:rsid w:val="0046153E"/>
    <w:rsid w:val="0046189A"/>
    <w:rsid w:val="0046195B"/>
    <w:rsid w:val="00461A35"/>
    <w:rsid w:val="00461C15"/>
    <w:rsid w:val="004620C8"/>
    <w:rsid w:val="00462454"/>
    <w:rsid w:val="00462710"/>
    <w:rsid w:val="00462AD7"/>
    <w:rsid w:val="00462C07"/>
    <w:rsid w:val="00463450"/>
    <w:rsid w:val="00463528"/>
    <w:rsid w:val="00463737"/>
    <w:rsid w:val="0046461A"/>
    <w:rsid w:val="00464950"/>
    <w:rsid w:val="00464ACF"/>
    <w:rsid w:val="00464BE6"/>
    <w:rsid w:val="004653E4"/>
    <w:rsid w:val="00465594"/>
    <w:rsid w:val="00465929"/>
    <w:rsid w:val="00465E10"/>
    <w:rsid w:val="00465E7C"/>
    <w:rsid w:val="004662C4"/>
    <w:rsid w:val="00466A7A"/>
    <w:rsid w:val="00466E54"/>
    <w:rsid w:val="0046722E"/>
    <w:rsid w:val="004672B7"/>
    <w:rsid w:val="00467638"/>
    <w:rsid w:val="00470150"/>
    <w:rsid w:val="004703F9"/>
    <w:rsid w:val="004705AC"/>
    <w:rsid w:val="00470631"/>
    <w:rsid w:val="004707E2"/>
    <w:rsid w:val="0047089B"/>
    <w:rsid w:val="00470A85"/>
    <w:rsid w:val="00470D26"/>
    <w:rsid w:val="00471A05"/>
    <w:rsid w:val="00471C3E"/>
    <w:rsid w:val="00471C51"/>
    <w:rsid w:val="0047263E"/>
    <w:rsid w:val="00472804"/>
    <w:rsid w:val="00472948"/>
    <w:rsid w:val="00472BF8"/>
    <w:rsid w:val="00472C5D"/>
    <w:rsid w:val="00472F28"/>
    <w:rsid w:val="004734DF"/>
    <w:rsid w:val="0047396C"/>
    <w:rsid w:val="00473A79"/>
    <w:rsid w:val="00474080"/>
    <w:rsid w:val="00474F5D"/>
    <w:rsid w:val="0047526B"/>
    <w:rsid w:val="0047542E"/>
    <w:rsid w:val="0047543C"/>
    <w:rsid w:val="004757E8"/>
    <w:rsid w:val="00476024"/>
    <w:rsid w:val="004761B2"/>
    <w:rsid w:val="00476BA4"/>
    <w:rsid w:val="00476D76"/>
    <w:rsid w:val="00476EC9"/>
    <w:rsid w:val="00476FF9"/>
    <w:rsid w:val="00477A71"/>
    <w:rsid w:val="00477AA9"/>
    <w:rsid w:val="00477AC5"/>
    <w:rsid w:val="00480239"/>
    <w:rsid w:val="0048058A"/>
    <w:rsid w:val="004806A0"/>
    <w:rsid w:val="00481C3F"/>
    <w:rsid w:val="00481C4A"/>
    <w:rsid w:val="00481D3D"/>
    <w:rsid w:val="00481E4C"/>
    <w:rsid w:val="0048209D"/>
    <w:rsid w:val="004821F0"/>
    <w:rsid w:val="00482367"/>
    <w:rsid w:val="0048246B"/>
    <w:rsid w:val="004827FA"/>
    <w:rsid w:val="00482FBD"/>
    <w:rsid w:val="00483062"/>
    <w:rsid w:val="00483371"/>
    <w:rsid w:val="004835A9"/>
    <w:rsid w:val="004837FC"/>
    <w:rsid w:val="00483A9D"/>
    <w:rsid w:val="00483C78"/>
    <w:rsid w:val="004844E0"/>
    <w:rsid w:val="004846ED"/>
    <w:rsid w:val="00484B76"/>
    <w:rsid w:val="00484DAE"/>
    <w:rsid w:val="00484FCD"/>
    <w:rsid w:val="004855F9"/>
    <w:rsid w:val="0048565F"/>
    <w:rsid w:val="004857DB"/>
    <w:rsid w:val="00486707"/>
    <w:rsid w:val="00486C27"/>
    <w:rsid w:val="00487333"/>
    <w:rsid w:val="004875D9"/>
    <w:rsid w:val="004879E6"/>
    <w:rsid w:val="00487C82"/>
    <w:rsid w:val="00487D2C"/>
    <w:rsid w:val="00490124"/>
    <w:rsid w:val="00490610"/>
    <w:rsid w:val="0049063A"/>
    <w:rsid w:val="004906F3"/>
    <w:rsid w:val="0049096E"/>
    <w:rsid w:val="00491154"/>
    <w:rsid w:val="00491D22"/>
    <w:rsid w:val="00491FA1"/>
    <w:rsid w:val="0049200E"/>
    <w:rsid w:val="00492129"/>
    <w:rsid w:val="00492219"/>
    <w:rsid w:val="004922C8"/>
    <w:rsid w:val="00492574"/>
    <w:rsid w:val="00492B32"/>
    <w:rsid w:val="00492C0B"/>
    <w:rsid w:val="004937A0"/>
    <w:rsid w:val="004939FD"/>
    <w:rsid w:val="00493A51"/>
    <w:rsid w:val="00493A83"/>
    <w:rsid w:val="00493B88"/>
    <w:rsid w:val="00493FBB"/>
    <w:rsid w:val="00494135"/>
    <w:rsid w:val="00494323"/>
    <w:rsid w:val="004943B3"/>
    <w:rsid w:val="0049492F"/>
    <w:rsid w:val="00494B1E"/>
    <w:rsid w:val="00494C56"/>
    <w:rsid w:val="00494DFF"/>
    <w:rsid w:val="004954AF"/>
    <w:rsid w:val="00495863"/>
    <w:rsid w:val="00495E2A"/>
    <w:rsid w:val="004965AE"/>
    <w:rsid w:val="004966C5"/>
    <w:rsid w:val="0049690A"/>
    <w:rsid w:val="00496DCC"/>
    <w:rsid w:val="004A08D0"/>
    <w:rsid w:val="004A0B12"/>
    <w:rsid w:val="004A1092"/>
    <w:rsid w:val="004A15A1"/>
    <w:rsid w:val="004A1A01"/>
    <w:rsid w:val="004A1A1F"/>
    <w:rsid w:val="004A2389"/>
    <w:rsid w:val="004A258D"/>
    <w:rsid w:val="004A25B6"/>
    <w:rsid w:val="004A2AD5"/>
    <w:rsid w:val="004A2E98"/>
    <w:rsid w:val="004A319F"/>
    <w:rsid w:val="004A3450"/>
    <w:rsid w:val="004A3660"/>
    <w:rsid w:val="004A389D"/>
    <w:rsid w:val="004A390B"/>
    <w:rsid w:val="004A3915"/>
    <w:rsid w:val="004A3971"/>
    <w:rsid w:val="004A3D71"/>
    <w:rsid w:val="004A3EFD"/>
    <w:rsid w:val="004A4C6A"/>
    <w:rsid w:val="004A5150"/>
    <w:rsid w:val="004A5BD7"/>
    <w:rsid w:val="004A628B"/>
    <w:rsid w:val="004A64EB"/>
    <w:rsid w:val="004A6505"/>
    <w:rsid w:val="004A6DB6"/>
    <w:rsid w:val="004A760A"/>
    <w:rsid w:val="004A770E"/>
    <w:rsid w:val="004A7CB2"/>
    <w:rsid w:val="004A7D0E"/>
    <w:rsid w:val="004A7EE6"/>
    <w:rsid w:val="004B00C9"/>
    <w:rsid w:val="004B0C6B"/>
    <w:rsid w:val="004B0D2A"/>
    <w:rsid w:val="004B14A4"/>
    <w:rsid w:val="004B163C"/>
    <w:rsid w:val="004B17B7"/>
    <w:rsid w:val="004B1FF4"/>
    <w:rsid w:val="004B2B1F"/>
    <w:rsid w:val="004B2D21"/>
    <w:rsid w:val="004B3511"/>
    <w:rsid w:val="004B4A46"/>
    <w:rsid w:val="004B4BE1"/>
    <w:rsid w:val="004B4CF5"/>
    <w:rsid w:val="004B5B64"/>
    <w:rsid w:val="004B60C3"/>
    <w:rsid w:val="004B6766"/>
    <w:rsid w:val="004B773A"/>
    <w:rsid w:val="004BD306"/>
    <w:rsid w:val="004C001D"/>
    <w:rsid w:val="004C006C"/>
    <w:rsid w:val="004C0132"/>
    <w:rsid w:val="004C06B9"/>
    <w:rsid w:val="004C0861"/>
    <w:rsid w:val="004C0CBA"/>
    <w:rsid w:val="004C0EF3"/>
    <w:rsid w:val="004C1112"/>
    <w:rsid w:val="004C1498"/>
    <w:rsid w:val="004C21A2"/>
    <w:rsid w:val="004C2657"/>
    <w:rsid w:val="004C27FB"/>
    <w:rsid w:val="004C2950"/>
    <w:rsid w:val="004C2A49"/>
    <w:rsid w:val="004C2B02"/>
    <w:rsid w:val="004C2CD3"/>
    <w:rsid w:val="004C39E1"/>
    <w:rsid w:val="004C3A7E"/>
    <w:rsid w:val="004C483C"/>
    <w:rsid w:val="004C4B68"/>
    <w:rsid w:val="004C5096"/>
    <w:rsid w:val="004C51DD"/>
    <w:rsid w:val="004C57F3"/>
    <w:rsid w:val="004C5AEB"/>
    <w:rsid w:val="004C63B0"/>
    <w:rsid w:val="004C6762"/>
    <w:rsid w:val="004C693B"/>
    <w:rsid w:val="004C6BC2"/>
    <w:rsid w:val="004C7433"/>
    <w:rsid w:val="004C76B7"/>
    <w:rsid w:val="004C7B4C"/>
    <w:rsid w:val="004C7E55"/>
    <w:rsid w:val="004D0B9D"/>
    <w:rsid w:val="004D0D1B"/>
    <w:rsid w:val="004D1135"/>
    <w:rsid w:val="004D19B7"/>
    <w:rsid w:val="004D1C48"/>
    <w:rsid w:val="004D2996"/>
    <w:rsid w:val="004D2C15"/>
    <w:rsid w:val="004D328C"/>
    <w:rsid w:val="004D4066"/>
    <w:rsid w:val="004D48FC"/>
    <w:rsid w:val="004D4EDB"/>
    <w:rsid w:val="004D4EF5"/>
    <w:rsid w:val="004D5BEC"/>
    <w:rsid w:val="004D664C"/>
    <w:rsid w:val="004D6B3A"/>
    <w:rsid w:val="004D6C7E"/>
    <w:rsid w:val="004D702C"/>
    <w:rsid w:val="004D70D3"/>
    <w:rsid w:val="004D763A"/>
    <w:rsid w:val="004D7760"/>
    <w:rsid w:val="004D7A89"/>
    <w:rsid w:val="004D7D0E"/>
    <w:rsid w:val="004E0453"/>
    <w:rsid w:val="004E0D26"/>
    <w:rsid w:val="004E1337"/>
    <w:rsid w:val="004E1888"/>
    <w:rsid w:val="004E244D"/>
    <w:rsid w:val="004E2458"/>
    <w:rsid w:val="004E27CA"/>
    <w:rsid w:val="004E2D18"/>
    <w:rsid w:val="004E30F4"/>
    <w:rsid w:val="004E32D4"/>
    <w:rsid w:val="004E32EB"/>
    <w:rsid w:val="004E3BC8"/>
    <w:rsid w:val="004E4109"/>
    <w:rsid w:val="004E4129"/>
    <w:rsid w:val="004E498D"/>
    <w:rsid w:val="004E52E2"/>
    <w:rsid w:val="004E537F"/>
    <w:rsid w:val="004E5953"/>
    <w:rsid w:val="004E5BC0"/>
    <w:rsid w:val="004E5D18"/>
    <w:rsid w:val="004E5D4C"/>
    <w:rsid w:val="004E626A"/>
    <w:rsid w:val="004E6995"/>
    <w:rsid w:val="004E73F6"/>
    <w:rsid w:val="004E7455"/>
    <w:rsid w:val="004F152C"/>
    <w:rsid w:val="004F1591"/>
    <w:rsid w:val="004F1638"/>
    <w:rsid w:val="004F1899"/>
    <w:rsid w:val="004F1DB5"/>
    <w:rsid w:val="004F1EA7"/>
    <w:rsid w:val="004F2509"/>
    <w:rsid w:val="004F2A8E"/>
    <w:rsid w:val="004F2B40"/>
    <w:rsid w:val="004F2DA4"/>
    <w:rsid w:val="004F3000"/>
    <w:rsid w:val="004F3282"/>
    <w:rsid w:val="004F39F2"/>
    <w:rsid w:val="004F3F2D"/>
    <w:rsid w:val="004F43A3"/>
    <w:rsid w:val="004F4AF0"/>
    <w:rsid w:val="004F5063"/>
    <w:rsid w:val="004F568C"/>
    <w:rsid w:val="004F5D0E"/>
    <w:rsid w:val="004F6117"/>
    <w:rsid w:val="004F6674"/>
    <w:rsid w:val="004F6C71"/>
    <w:rsid w:val="004F6D99"/>
    <w:rsid w:val="004F7097"/>
    <w:rsid w:val="004F71E6"/>
    <w:rsid w:val="004F76B3"/>
    <w:rsid w:val="004F76FF"/>
    <w:rsid w:val="004F7CEE"/>
    <w:rsid w:val="005010CE"/>
    <w:rsid w:val="005013D0"/>
    <w:rsid w:val="005013FE"/>
    <w:rsid w:val="00501AED"/>
    <w:rsid w:val="00501D8A"/>
    <w:rsid w:val="00502BCB"/>
    <w:rsid w:val="00502D4B"/>
    <w:rsid w:val="005031DB"/>
    <w:rsid w:val="00503787"/>
    <w:rsid w:val="00503E30"/>
    <w:rsid w:val="00504639"/>
    <w:rsid w:val="00504890"/>
    <w:rsid w:val="00504B65"/>
    <w:rsid w:val="00504E8F"/>
    <w:rsid w:val="005057E2"/>
    <w:rsid w:val="00505BF4"/>
    <w:rsid w:val="00505E8F"/>
    <w:rsid w:val="00506AF7"/>
    <w:rsid w:val="00506B8C"/>
    <w:rsid w:val="00506C26"/>
    <w:rsid w:val="005078C8"/>
    <w:rsid w:val="00507C45"/>
    <w:rsid w:val="00510A4A"/>
    <w:rsid w:val="00510C2C"/>
    <w:rsid w:val="005115BE"/>
    <w:rsid w:val="00511928"/>
    <w:rsid w:val="00511D40"/>
    <w:rsid w:val="0051264D"/>
    <w:rsid w:val="005128DD"/>
    <w:rsid w:val="00512959"/>
    <w:rsid w:val="00512B00"/>
    <w:rsid w:val="00512DB7"/>
    <w:rsid w:val="00512EBC"/>
    <w:rsid w:val="005136CC"/>
    <w:rsid w:val="00513A36"/>
    <w:rsid w:val="00514295"/>
    <w:rsid w:val="00514639"/>
    <w:rsid w:val="0051477C"/>
    <w:rsid w:val="00515827"/>
    <w:rsid w:val="00515A7C"/>
    <w:rsid w:val="00516451"/>
    <w:rsid w:val="0051694A"/>
    <w:rsid w:val="00516A47"/>
    <w:rsid w:val="00517199"/>
    <w:rsid w:val="00517B3C"/>
    <w:rsid w:val="00517E52"/>
    <w:rsid w:val="0052001F"/>
    <w:rsid w:val="00520531"/>
    <w:rsid w:val="00520543"/>
    <w:rsid w:val="0052077A"/>
    <w:rsid w:val="005208EA"/>
    <w:rsid w:val="00520C7A"/>
    <w:rsid w:val="00520DE7"/>
    <w:rsid w:val="005215B9"/>
    <w:rsid w:val="00521C68"/>
    <w:rsid w:val="00521CE0"/>
    <w:rsid w:val="00521F07"/>
    <w:rsid w:val="00522223"/>
    <w:rsid w:val="0052223E"/>
    <w:rsid w:val="005226F3"/>
    <w:rsid w:val="00522826"/>
    <w:rsid w:val="005229B2"/>
    <w:rsid w:val="0052348F"/>
    <w:rsid w:val="00523560"/>
    <w:rsid w:val="00523B6F"/>
    <w:rsid w:val="00523EDE"/>
    <w:rsid w:val="00523F90"/>
    <w:rsid w:val="0052400C"/>
    <w:rsid w:val="0052443E"/>
    <w:rsid w:val="00524B7C"/>
    <w:rsid w:val="00525412"/>
    <w:rsid w:val="00525883"/>
    <w:rsid w:val="005258A7"/>
    <w:rsid w:val="00525BA8"/>
    <w:rsid w:val="00526133"/>
    <w:rsid w:val="005262CF"/>
    <w:rsid w:val="005263F4"/>
    <w:rsid w:val="005264FD"/>
    <w:rsid w:val="00526A1F"/>
    <w:rsid w:val="00526AD7"/>
    <w:rsid w:val="00526B75"/>
    <w:rsid w:val="00526F0E"/>
    <w:rsid w:val="00526F93"/>
    <w:rsid w:val="00526FF2"/>
    <w:rsid w:val="00527568"/>
    <w:rsid w:val="0052766A"/>
    <w:rsid w:val="00527CAA"/>
    <w:rsid w:val="00530245"/>
    <w:rsid w:val="0053095E"/>
    <w:rsid w:val="00531110"/>
    <w:rsid w:val="0053175A"/>
    <w:rsid w:val="00531DE8"/>
    <w:rsid w:val="00532695"/>
    <w:rsid w:val="005329AC"/>
    <w:rsid w:val="00532C75"/>
    <w:rsid w:val="00532D7D"/>
    <w:rsid w:val="00532F00"/>
    <w:rsid w:val="0053300B"/>
    <w:rsid w:val="005333FE"/>
    <w:rsid w:val="005334A5"/>
    <w:rsid w:val="005334BD"/>
    <w:rsid w:val="005336DA"/>
    <w:rsid w:val="00533781"/>
    <w:rsid w:val="005337FD"/>
    <w:rsid w:val="00533926"/>
    <w:rsid w:val="00534034"/>
    <w:rsid w:val="00534ADB"/>
    <w:rsid w:val="00534EF1"/>
    <w:rsid w:val="00534F62"/>
    <w:rsid w:val="0053554A"/>
    <w:rsid w:val="005359A3"/>
    <w:rsid w:val="00535A57"/>
    <w:rsid w:val="005364BC"/>
    <w:rsid w:val="0053657D"/>
    <w:rsid w:val="00536994"/>
    <w:rsid w:val="00536B4B"/>
    <w:rsid w:val="00536B6B"/>
    <w:rsid w:val="00536F1E"/>
    <w:rsid w:val="005371D1"/>
    <w:rsid w:val="00537261"/>
    <w:rsid w:val="00537308"/>
    <w:rsid w:val="00537556"/>
    <w:rsid w:val="0053763E"/>
    <w:rsid w:val="00537EB5"/>
    <w:rsid w:val="005400DD"/>
    <w:rsid w:val="005408A8"/>
    <w:rsid w:val="00540A68"/>
    <w:rsid w:val="0054114D"/>
    <w:rsid w:val="00541304"/>
    <w:rsid w:val="0054144E"/>
    <w:rsid w:val="00541510"/>
    <w:rsid w:val="00541660"/>
    <w:rsid w:val="005418A1"/>
    <w:rsid w:val="0054191B"/>
    <w:rsid w:val="00541C8E"/>
    <w:rsid w:val="00541D64"/>
    <w:rsid w:val="00541DAD"/>
    <w:rsid w:val="00541F3E"/>
    <w:rsid w:val="00542121"/>
    <w:rsid w:val="005428C2"/>
    <w:rsid w:val="00542D2F"/>
    <w:rsid w:val="005431BF"/>
    <w:rsid w:val="0054324C"/>
    <w:rsid w:val="00543270"/>
    <w:rsid w:val="005436F3"/>
    <w:rsid w:val="005439A6"/>
    <w:rsid w:val="00544020"/>
    <w:rsid w:val="005447F9"/>
    <w:rsid w:val="005448A4"/>
    <w:rsid w:val="00544B83"/>
    <w:rsid w:val="00544BA2"/>
    <w:rsid w:val="00544D08"/>
    <w:rsid w:val="00545017"/>
    <w:rsid w:val="0054509A"/>
    <w:rsid w:val="00545C89"/>
    <w:rsid w:val="0054629C"/>
    <w:rsid w:val="005465C0"/>
    <w:rsid w:val="00546B19"/>
    <w:rsid w:val="005470AA"/>
    <w:rsid w:val="005472AC"/>
    <w:rsid w:val="00550215"/>
    <w:rsid w:val="0055037D"/>
    <w:rsid w:val="005503F3"/>
    <w:rsid w:val="00550786"/>
    <w:rsid w:val="00551B0A"/>
    <w:rsid w:val="00551D99"/>
    <w:rsid w:val="005523D9"/>
    <w:rsid w:val="005526FE"/>
    <w:rsid w:val="00552758"/>
    <w:rsid w:val="005534A8"/>
    <w:rsid w:val="00554193"/>
    <w:rsid w:val="00554958"/>
    <w:rsid w:val="00554F79"/>
    <w:rsid w:val="005553DF"/>
    <w:rsid w:val="0055597B"/>
    <w:rsid w:val="00555B3C"/>
    <w:rsid w:val="00555ECD"/>
    <w:rsid w:val="00556220"/>
    <w:rsid w:val="00556606"/>
    <w:rsid w:val="00557210"/>
    <w:rsid w:val="00557663"/>
    <w:rsid w:val="0055790A"/>
    <w:rsid w:val="00557A1C"/>
    <w:rsid w:val="00557A50"/>
    <w:rsid w:val="00557EB8"/>
    <w:rsid w:val="0056017F"/>
    <w:rsid w:val="00560811"/>
    <w:rsid w:val="00561272"/>
    <w:rsid w:val="0056150A"/>
    <w:rsid w:val="00561BFF"/>
    <w:rsid w:val="0056207D"/>
    <w:rsid w:val="0056311E"/>
    <w:rsid w:val="00563304"/>
    <w:rsid w:val="00563354"/>
    <w:rsid w:val="005633E8"/>
    <w:rsid w:val="0056397C"/>
    <w:rsid w:val="00563E4B"/>
    <w:rsid w:val="0056416B"/>
    <w:rsid w:val="00564199"/>
    <w:rsid w:val="0056561C"/>
    <w:rsid w:val="00565F6C"/>
    <w:rsid w:val="00566331"/>
    <w:rsid w:val="00566820"/>
    <w:rsid w:val="0056684E"/>
    <w:rsid w:val="00566C20"/>
    <w:rsid w:val="00566D84"/>
    <w:rsid w:val="00566E5E"/>
    <w:rsid w:val="005670A7"/>
    <w:rsid w:val="005670B0"/>
    <w:rsid w:val="00567220"/>
    <w:rsid w:val="00567725"/>
    <w:rsid w:val="00567CA9"/>
    <w:rsid w:val="0057001D"/>
    <w:rsid w:val="00570047"/>
    <w:rsid w:val="00570142"/>
    <w:rsid w:val="00570448"/>
    <w:rsid w:val="00570DC3"/>
    <w:rsid w:val="00571260"/>
    <w:rsid w:val="0057135B"/>
    <w:rsid w:val="00571763"/>
    <w:rsid w:val="00571B07"/>
    <w:rsid w:val="00571D82"/>
    <w:rsid w:val="00571E65"/>
    <w:rsid w:val="00571F46"/>
    <w:rsid w:val="00572134"/>
    <w:rsid w:val="00572274"/>
    <w:rsid w:val="005725D1"/>
    <w:rsid w:val="00572837"/>
    <w:rsid w:val="005728D6"/>
    <w:rsid w:val="00572B20"/>
    <w:rsid w:val="00573465"/>
    <w:rsid w:val="00573630"/>
    <w:rsid w:val="00573DB7"/>
    <w:rsid w:val="00574088"/>
    <w:rsid w:val="00574C4D"/>
    <w:rsid w:val="005750BA"/>
    <w:rsid w:val="005751C6"/>
    <w:rsid w:val="00575B2F"/>
    <w:rsid w:val="00575F71"/>
    <w:rsid w:val="00576512"/>
    <w:rsid w:val="0057658B"/>
    <w:rsid w:val="0057668C"/>
    <w:rsid w:val="00576E23"/>
    <w:rsid w:val="00576E4B"/>
    <w:rsid w:val="005777F3"/>
    <w:rsid w:val="00577AE6"/>
    <w:rsid w:val="00577F85"/>
    <w:rsid w:val="0058047A"/>
    <w:rsid w:val="005804FD"/>
    <w:rsid w:val="005808FD"/>
    <w:rsid w:val="00580DFD"/>
    <w:rsid w:val="005813BD"/>
    <w:rsid w:val="005817CC"/>
    <w:rsid w:val="005817FD"/>
    <w:rsid w:val="00581898"/>
    <w:rsid w:val="005818A5"/>
    <w:rsid w:val="00581A14"/>
    <w:rsid w:val="00581AC2"/>
    <w:rsid w:val="00581EF3"/>
    <w:rsid w:val="005832B8"/>
    <w:rsid w:val="005836D3"/>
    <w:rsid w:val="0058392F"/>
    <w:rsid w:val="005839DA"/>
    <w:rsid w:val="00583EFE"/>
    <w:rsid w:val="005842FC"/>
    <w:rsid w:val="00585CC5"/>
    <w:rsid w:val="00585E9F"/>
    <w:rsid w:val="005861F6"/>
    <w:rsid w:val="005867E9"/>
    <w:rsid w:val="00586B85"/>
    <w:rsid w:val="00586C2A"/>
    <w:rsid w:val="00587033"/>
    <w:rsid w:val="00587157"/>
    <w:rsid w:val="00587ABC"/>
    <w:rsid w:val="00587B7D"/>
    <w:rsid w:val="00587C19"/>
    <w:rsid w:val="00587F9E"/>
    <w:rsid w:val="00591019"/>
    <w:rsid w:val="0059138B"/>
    <w:rsid w:val="005914A5"/>
    <w:rsid w:val="005914F3"/>
    <w:rsid w:val="005919BB"/>
    <w:rsid w:val="00591F1A"/>
    <w:rsid w:val="0059210B"/>
    <w:rsid w:val="0059220C"/>
    <w:rsid w:val="0059249E"/>
    <w:rsid w:val="00592585"/>
    <w:rsid w:val="00592D88"/>
    <w:rsid w:val="00592DFF"/>
    <w:rsid w:val="00593212"/>
    <w:rsid w:val="005935D2"/>
    <w:rsid w:val="00593697"/>
    <w:rsid w:val="00593C57"/>
    <w:rsid w:val="00594014"/>
    <w:rsid w:val="00594432"/>
    <w:rsid w:val="00594474"/>
    <w:rsid w:val="00594B0F"/>
    <w:rsid w:val="00594B91"/>
    <w:rsid w:val="00594C9F"/>
    <w:rsid w:val="005954C4"/>
    <w:rsid w:val="00595998"/>
    <w:rsid w:val="005961B0"/>
    <w:rsid w:val="00596BE3"/>
    <w:rsid w:val="00596D05"/>
    <w:rsid w:val="00596EC8"/>
    <w:rsid w:val="00596FF2"/>
    <w:rsid w:val="005974F8"/>
    <w:rsid w:val="005975D5"/>
    <w:rsid w:val="00597823"/>
    <w:rsid w:val="00597C4E"/>
    <w:rsid w:val="00597CCE"/>
    <w:rsid w:val="005A008C"/>
    <w:rsid w:val="005A044D"/>
    <w:rsid w:val="005A04F4"/>
    <w:rsid w:val="005A062F"/>
    <w:rsid w:val="005A0C92"/>
    <w:rsid w:val="005A0D43"/>
    <w:rsid w:val="005A104A"/>
    <w:rsid w:val="005A1074"/>
    <w:rsid w:val="005A1961"/>
    <w:rsid w:val="005A1B57"/>
    <w:rsid w:val="005A20A5"/>
    <w:rsid w:val="005A2502"/>
    <w:rsid w:val="005A2E2D"/>
    <w:rsid w:val="005A2FE4"/>
    <w:rsid w:val="005A354C"/>
    <w:rsid w:val="005A36F5"/>
    <w:rsid w:val="005A3A67"/>
    <w:rsid w:val="005A3AD3"/>
    <w:rsid w:val="005A4926"/>
    <w:rsid w:val="005A4A50"/>
    <w:rsid w:val="005A4A66"/>
    <w:rsid w:val="005A5409"/>
    <w:rsid w:val="005A5485"/>
    <w:rsid w:val="005A5A6D"/>
    <w:rsid w:val="005A5AAE"/>
    <w:rsid w:val="005A6117"/>
    <w:rsid w:val="005A65A8"/>
    <w:rsid w:val="005A68D2"/>
    <w:rsid w:val="005A6D9C"/>
    <w:rsid w:val="005A6EC2"/>
    <w:rsid w:val="005A72D8"/>
    <w:rsid w:val="005A7732"/>
    <w:rsid w:val="005A7868"/>
    <w:rsid w:val="005A7973"/>
    <w:rsid w:val="005A79C0"/>
    <w:rsid w:val="005A7DAD"/>
    <w:rsid w:val="005B01B4"/>
    <w:rsid w:val="005B0454"/>
    <w:rsid w:val="005B0491"/>
    <w:rsid w:val="005B0E27"/>
    <w:rsid w:val="005B0E90"/>
    <w:rsid w:val="005B0F6B"/>
    <w:rsid w:val="005B109C"/>
    <w:rsid w:val="005B1557"/>
    <w:rsid w:val="005B1A56"/>
    <w:rsid w:val="005B1C2D"/>
    <w:rsid w:val="005B239B"/>
    <w:rsid w:val="005B2E09"/>
    <w:rsid w:val="005B2F62"/>
    <w:rsid w:val="005B323A"/>
    <w:rsid w:val="005B3A46"/>
    <w:rsid w:val="005B40DE"/>
    <w:rsid w:val="005B4522"/>
    <w:rsid w:val="005B469B"/>
    <w:rsid w:val="005B494C"/>
    <w:rsid w:val="005B496E"/>
    <w:rsid w:val="005B50D9"/>
    <w:rsid w:val="005B5CB0"/>
    <w:rsid w:val="005B66F7"/>
    <w:rsid w:val="005B693D"/>
    <w:rsid w:val="005B69D1"/>
    <w:rsid w:val="005B6C6E"/>
    <w:rsid w:val="005B783E"/>
    <w:rsid w:val="005C0410"/>
    <w:rsid w:val="005C0776"/>
    <w:rsid w:val="005C0BB6"/>
    <w:rsid w:val="005C0F38"/>
    <w:rsid w:val="005C10CF"/>
    <w:rsid w:val="005C147E"/>
    <w:rsid w:val="005C1A11"/>
    <w:rsid w:val="005C1A64"/>
    <w:rsid w:val="005C1B76"/>
    <w:rsid w:val="005C1F80"/>
    <w:rsid w:val="005C2008"/>
    <w:rsid w:val="005C285A"/>
    <w:rsid w:val="005C2C9B"/>
    <w:rsid w:val="005C2D85"/>
    <w:rsid w:val="005C367B"/>
    <w:rsid w:val="005C38E7"/>
    <w:rsid w:val="005C39E4"/>
    <w:rsid w:val="005C4260"/>
    <w:rsid w:val="005C4F28"/>
    <w:rsid w:val="005C5114"/>
    <w:rsid w:val="005C56A1"/>
    <w:rsid w:val="005C5C64"/>
    <w:rsid w:val="005C5C73"/>
    <w:rsid w:val="005C5E09"/>
    <w:rsid w:val="005C7123"/>
    <w:rsid w:val="005C71EE"/>
    <w:rsid w:val="005C7846"/>
    <w:rsid w:val="005C7B05"/>
    <w:rsid w:val="005C7DB4"/>
    <w:rsid w:val="005C7E5D"/>
    <w:rsid w:val="005D02B5"/>
    <w:rsid w:val="005D07C5"/>
    <w:rsid w:val="005D1B5D"/>
    <w:rsid w:val="005D1B7E"/>
    <w:rsid w:val="005D1E11"/>
    <w:rsid w:val="005D1F1E"/>
    <w:rsid w:val="005D2009"/>
    <w:rsid w:val="005D21BA"/>
    <w:rsid w:val="005D2687"/>
    <w:rsid w:val="005D2997"/>
    <w:rsid w:val="005D2A67"/>
    <w:rsid w:val="005D2B66"/>
    <w:rsid w:val="005D2CEB"/>
    <w:rsid w:val="005D3476"/>
    <w:rsid w:val="005D3D33"/>
    <w:rsid w:val="005D41BD"/>
    <w:rsid w:val="005D439C"/>
    <w:rsid w:val="005D4ED1"/>
    <w:rsid w:val="005D5779"/>
    <w:rsid w:val="005D5AD2"/>
    <w:rsid w:val="005D60B8"/>
    <w:rsid w:val="005D63BD"/>
    <w:rsid w:val="005D65F9"/>
    <w:rsid w:val="005D7854"/>
    <w:rsid w:val="005D7E9F"/>
    <w:rsid w:val="005E040F"/>
    <w:rsid w:val="005E0483"/>
    <w:rsid w:val="005E0630"/>
    <w:rsid w:val="005E0917"/>
    <w:rsid w:val="005E0945"/>
    <w:rsid w:val="005E0B3B"/>
    <w:rsid w:val="005E106D"/>
    <w:rsid w:val="005E185A"/>
    <w:rsid w:val="005E1A57"/>
    <w:rsid w:val="005E23C4"/>
    <w:rsid w:val="005E2D50"/>
    <w:rsid w:val="005E2EF4"/>
    <w:rsid w:val="005E32ED"/>
    <w:rsid w:val="005E3557"/>
    <w:rsid w:val="005E393F"/>
    <w:rsid w:val="005E3CCB"/>
    <w:rsid w:val="005E3D1F"/>
    <w:rsid w:val="005E3D47"/>
    <w:rsid w:val="005E439E"/>
    <w:rsid w:val="005E43A7"/>
    <w:rsid w:val="005E4E94"/>
    <w:rsid w:val="005E5831"/>
    <w:rsid w:val="005E59D0"/>
    <w:rsid w:val="005E6B82"/>
    <w:rsid w:val="005E6F5D"/>
    <w:rsid w:val="005E7087"/>
    <w:rsid w:val="005E71D7"/>
    <w:rsid w:val="005E7441"/>
    <w:rsid w:val="005E78C9"/>
    <w:rsid w:val="005F027E"/>
    <w:rsid w:val="005F04CA"/>
    <w:rsid w:val="005F0693"/>
    <w:rsid w:val="005F0702"/>
    <w:rsid w:val="005F0911"/>
    <w:rsid w:val="005F0B63"/>
    <w:rsid w:val="005F0B6D"/>
    <w:rsid w:val="005F0B8F"/>
    <w:rsid w:val="005F0C97"/>
    <w:rsid w:val="005F1567"/>
    <w:rsid w:val="005F1677"/>
    <w:rsid w:val="005F181B"/>
    <w:rsid w:val="005F199E"/>
    <w:rsid w:val="005F1A58"/>
    <w:rsid w:val="005F2DB0"/>
    <w:rsid w:val="005F3425"/>
    <w:rsid w:val="005F36EF"/>
    <w:rsid w:val="005F3918"/>
    <w:rsid w:val="005F39C0"/>
    <w:rsid w:val="005F407C"/>
    <w:rsid w:val="005F40CC"/>
    <w:rsid w:val="005F45E9"/>
    <w:rsid w:val="005F4967"/>
    <w:rsid w:val="005F4A78"/>
    <w:rsid w:val="005F5371"/>
    <w:rsid w:val="005F60BE"/>
    <w:rsid w:val="005F6391"/>
    <w:rsid w:val="005F6437"/>
    <w:rsid w:val="005F6644"/>
    <w:rsid w:val="005F67CC"/>
    <w:rsid w:val="005F6F24"/>
    <w:rsid w:val="005F7540"/>
    <w:rsid w:val="005F7909"/>
    <w:rsid w:val="005F7EB1"/>
    <w:rsid w:val="0060002D"/>
    <w:rsid w:val="00600145"/>
    <w:rsid w:val="00600256"/>
    <w:rsid w:val="006002C1"/>
    <w:rsid w:val="006005BE"/>
    <w:rsid w:val="006008C9"/>
    <w:rsid w:val="00601A47"/>
    <w:rsid w:val="00601B03"/>
    <w:rsid w:val="00602CB6"/>
    <w:rsid w:val="006030C3"/>
    <w:rsid w:val="006031C9"/>
    <w:rsid w:val="006038F4"/>
    <w:rsid w:val="00603C62"/>
    <w:rsid w:val="00604E3C"/>
    <w:rsid w:val="00604E44"/>
    <w:rsid w:val="006054D1"/>
    <w:rsid w:val="00605B59"/>
    <w:rsid w:val="006063B4"/>
    <w:rsid w:val="006066B7"/>
    <w:rsid w:val="0060680D"/>
    <w:rsid w:val="0060682D"/>
    <w:rsid w:val="0060695E"/>
    <w:rsid w:val="00606A04"/>
    <w:rsid w:val="00606E49"/>
    <w:rsid w:val="00607A8F"/>
    <w:rsid w:val="006107DF"/>
    <w:rsid w:val="00612387"/>
    <w:rsid w:val="00613836"/>
    <w:rsid w:val="00613AD4"/>
    <w:rsid w:val="0061401E"/>
    <w:rsid w:val="00614FCB"/>
    <w:rsid w:val="0061508C"/>
    <w:rsid w:val="006151DC"/>
    <w:rsid w:val="00616524"/>
    <w:rsid w:val="006168C5"/>
    <w:rsid w:val="00616904"/>
    <w:rsid w:val="00617172"/>
    <w:rsid w:val="00617715"/>
    <w:rsid w:val="00617DEB"/>
    <w:rsid w:val="00617EE9"/>
    <w:rsid w:val="006200AE"/>
    <w:rsid w:val="00620134"/>
    <w:rsid w:val="006202B8"/>
    <w:rsid w:val="00620453"/>
    <w:rsid w:val="0062183F"/>
    <w:rsid w:val="0062270F"/>
    <w:rsid w:val="00622B4C"/>
    <w:rsid w:val="00622FAE"/>
    <w:rsid w:val="00623275"/>
    <w:rsid w:val="00623688"/>
    <w:rsid w:val="006239AF"/>
    <w:rsid w:val="00623B54"/>
    <w:rsid w:val="00623D0C"/>
    <w:rsid w:val="00623E8E"/>
    <w:rsid w:val="00623EA0"/>
    <w:rsid w:val="00624132"/>
    <w:rsid w:val="006241F8"/>
    <w:rsid w:val="00624467"/>
    <w:rsid w:val="006246F6"/>
    <w:rsid w:val="00624807"/>
    <w:rsid w:val="00624CD6"/>
    <w:rsid w:val="00624E5F"/>
    <w:rsid w:val="006252FA"/>
    <w:rsid w:val="006256EF"/>
    <w:rsid w:val="00625991"/>
    <w:rsid w:val="006261D0"/>
    <w:rsid w:val="0062651E"/>
    <w:rsid w:val="006266C0"/>
    <w:rsid w:val="006278F5"/>
    <w:rsid w:val="00627ABD"/>
    <w:rsid w:val="00627B6C"/>
    <w:rsid w:val="00627EA6"/>
    <w:rsid w:val="00630910"/>
    <w:rsid w:val="006309DD"/>
    <w:rsid w:val="00630C4E"/>
    <w:rsid w:val="0063177B"/>
    <w:rsid w:val="00631BFE"/>
    <w:rsid w:val="00631D8C"/>
    <w:rsid w:val="006327AA"/>
    <w:rsid w:val="006328D1"/>
    <w:rsid w:val="00632C6F"/>
    <w:rsid w:val="00632FBE"/>
    <w:rsid w:val="0063324F"/>
    <w:rsid w:val="0063332D"/>
    <w:rsid w:val="006334D0"/>
    <w:rsid w:val="00633CA0"/>
    <w:rsid w:val="00633E8B"/>
    <w:rsid w:val="00634057"/>
    <w:rsid w:val="00634213"/>
    <w:rsid w:val="006342A0"/>
    <w:rsid w:val="00634A35"/>
    <w:rsid w:val="00634F28"/>
    <w:rsid w:val="00634FE6"/>
    <w:rsid w:val="0063509E"/>
    <w:rsid w:val="00635192"/>
    <w:rsid w:val="0063532A"/>
    <w:rsid w:val="0063552B"/>
    <w:rsid w:val="00635A0A"/>
    <w:rsid w:val="00635E8B"/>
    <w:rsid w:val="00636659"/>
    <w:rsid w:val="00636F1B"/>
    <w:rsid w:val="00636FF2"/>
    <w:rsid w:val="006372A7"/>
    <w:rsid w:val="00637533"/>
    <w:rsid w:val="00637A60"/>
    <w:rsid w:val="00637D55"/>
    <w:rsid w:val="006403E1"/>
    <w:rsid w:val="00640D51"/>
    <w:rsid w:val="00640DAF"/>
    <w:rsid w:val="00640FF3"/>
    <w:rsid w:val="006419DE"/>
    <w:rsid w:val="0064225A"/>
    <w:rsid w:val="0064251A"/>
    <w:rsid w:val="006425A4"/>
    <w:rsid w:val="00642826"/>
    <w:rsid w:val="00642F26"/>
    <w:rsid w:val="0064365C"/>
    <w:rsid w:val="00643937"/>
    <w:rsid w:val="00643D06"/>
    <w:rsid w:val="00645447"/>
    <w:rsid w:val="00645635"/>
    <w:rsid w:val="00645871"/>
    <w:rsid w:val="006459D8"/>
    <w:rsid w:val="00645E37"/>
    <w:rsid w:val="006465A6"/>
    <w:rsid w:val="006465E5"/>
    <w:rsid w:val="00646C98"/>
    <w:rsid w:val="00646CB1"/>
    <w:rsid w:val="006477D1"/>
    <w:rsid w:val="00647CE1"/>
    <w:rsid w:val="0065000D"/>
    <w:rsid w:val="0065075F"/>
    <w:rsid w:val="006507A5"/>
    <w:rsid w:val="00650E16"/>
    <w:rsid w:val="006511C1"/>
    <w:rsid w:val="00651251"/>
    <w:rsid w:val="0065266E"/>
    <w:rsid w:val="00652E0B"/>
    <w:rsid w:val="006533FC"/>
    <w:rsid w:val="006539DE"/>
    <w:rsid w:val="00653D8F"/>
    <w:rsid w:val="00653DDC"/>
    <w:rsid w:val="00654509"/>
    <w:rsid w:val="00654A0B"/>
    <w:rsid w:val="00654B07"/>
    <w:rsid w:val="00654D5C"/>
    <w:rsid w:val="00654F60"/>
    <w:rsid w:val="006557CC"/>
    <w:rsid w:val="006559E9"/>
    <w:rsid w:val="00655D3F"/>
    <w:rsid w:val="00656073"/>
    <w:rsid w:val="0065648D"/>
    <w:rsid w:val="0065655F"/>
    <w:rsid w:val="00656C56"/>
    <w:rsid w:val="00656CB6"/>
    <w:rsid w:val="00656D5E"/>
    <w:rsid w:val="00656F6C"/>
    <w:rsid w:val="00657354"/>
    <w:rsid w:val="00657EF8"/>
    <w:rsid w:val="006603DC"/>
    <w:rsid w:val="0066056F"/>
    <w:rsid w:val="00661248"/>
    <w:rsid w:val="006626B6"/>
    <w:rsid w:val="00662DE6"/>
    <w:rsid w:val="006630E9"/>
    <w:rsid w:val="00663683"/>
    <w:rsid w:val="00663BA8"/>
    <w:rsid w:val="00663DFF"/>
    <w:rsid w:val="00663E79"/>
    <w:rsid w:val="006645E3"/>
    <w:rsid w:val="00664CE3"/>
    <w:rsid w:val="00664CF4"/>
    <w:rsid w:val="006651B3"/>
    <w:rsid w:val="006653D2"/>
    <w:rsid w:val="00665634"/>
    <w:rsid w:val="00665A46"/>
    <w:rsid w:val="00665DE6"/>
    <w:rsid w:val="00666628"/>
    <w:rsid w:val="00666716"/>
    <w:rsid w:val="00666B2C"/>
    <w:rsid w:val="00666F4E"/>
    <w:rsid w:val="00667D49"/>
    <w:rsid w:val="00670026"/>
    <w:rsid w:val="006703F0"/>
    <w:rsid w:val="00670CD8"/>
    <w:rsid w:val="0067105A"/>
    <w:rsid w:val="00671342"/>
    <w:rsid w:val="0067157C"/>
    <w:rsid w:val="00671901"/>
    <w:rsid w:val="00671DA8"/>
    <w:rsid w:val="0067230A"/>
    <w:rsid w:val="0067260E"/>
    <w:rsid w:val="0067293A"/>
    <w:rsid w:val="00672C7E"/>
    <w:rsid w:val="00672F64"/>
    <w:rsid w:val="006733C3"/>
    <w:rsid w:val="00673471"/>
    <w:rsid w:val="006734CA"/>
    <w:rsid w:val="00673989"/>
    <w:rsid w:val="00674264"/>
    <w:rsid w:val="006745A4"/>
    <w:rsid w:val="00674FF5"/>
    <w:rsid w:val="0067513A"/>
    <w:rsid w:val="0067568B"/>
    <w:rsid w:val="00675739"/>
    <w:rsid w:val="006759F9"/>
    <w:rsid w:val="00675E07"/>
    <w:rsid w:val="006762F6"/>
    <w:rsid w:val="00676422"/>
    <w:rsid w:val="00676AD6"/>
    <w:rsid w:val="006770C2"/>
    <w:rsid w:val="006771C3"/>
    <w:rsid w:val="0067733C"/>
    <w:rsid w:val="006776A2"/>
    <w:rsid w:val="00677C56"/>
    <w:rsid w:val="00677DD0"/>
    <w:rsid w:val="0068077A"/>
    <w:rsid w:val="00680AD3"/>
    <w:rsid w:val="00680BE7"/>
    <w:rsid w:val="0068123B"/>
    <w:rsid w:val="0068144E"/>
    <w:rsid w:val="00681F4E"/>
    <w:rsid w:val="006823D2"/>
    <w:rsid w:val="006825E0"/>
    <w:rsid w:val="00683011"/>
    <w:rsid w:val="00683379"/>
    <w:rsid w:val="006833F2"/>
    <w:rsid w:val="00683BB7"/>
    <w:rsid w:val="00684158"/>
    <w:rsid w:val="006842D7"/>
    <w:rsid w:val="0068475A"/>
    <w:rsid w:val="00684A41"/>
    <w:rsid w:val="00684AE3"/>
    <w:rsid w:val="00685109"/>
    <w:rsid w:val="006852BE"/>
    <w:rsid w:val="00685CA3"/>
    <w:rsid w:val="00685CEF"/>
    <w:rsid w:val="00685F62"/>
    <w:rsid w:val="00685FDE"/>
    <w:rsid w:val="006867CF"/>
    <w:rsid w:val="00686D37"/>
    <w:rsid w:val="00687527"/>
    <w:rsid w:val="006879BB"/>
    <w:rsid w:val="00687A34"/>
    <w:rsid w:val="00687B02"/>
    <w:rsid w:val="00687FD4"/>
    <w:rsid w:val="006901CA"/>
    <w:rsid w:val="006906DA"/>
    <w:rsid w:val="00690AC3"/>
    <w:rsid w:val="00691656"/>
    <w:rsid w:val="006919A4"/>
    <w:rsid w:val="00692037"/>
    <w:rsid w:val="00692356"/>
    <w:rsid w:val="0069242F"/>
    <w:rsid w:val="00692741"/>
    <w:rsid w:val="00693277"/>
    <w:rsid w:val="00693357"/>
    <w:rsid w:val="00693790"/>
    <w:rsid w:val="00693FFF"/>
    <w:rsid w:val="006944BD"/>
    <w:rsid w:val="00694DE1"/>
    <w:rsid w:val="00694FF6"/>
    <w:rsid w:val="00695346"/>
    <w:rsid w:val="00695380"/>
    <w:rsid w:val="00696198"/>
    <w:rsid w:val="00696520"/>
    <w:rsid w:val="0069699A"/>
    <w:rsid w:val="00696C64"/>
    <w:rsid w:val="00696D3F"/>
    <w:rsid w:val="00696FE0"/>
    <w:rsid w:val="006971E0"/>
    <w:rsid w:val="006972ED"/>
    <w:rsid w:val="006972F5"/>
    <w:rsid w:val="006976B5"/>
    <w:rsid w:val="0069795D"/>
    <w:rsid w:val="006A0076"/>
    <w:rsid w:val="006A03E0"/>
    <w:rsid w:val="006A050C"/>
    <w:rsid w:val="006A0BDA"/>
    <w:rsid w:val="006A0C56"/>
    <w:rsid w:val="006A13C0"/>
    <w:rsid w:val="006A145D"/>
    <w:rsid w:val="006A2771"/>
    <w:rsid w:val="006A3749"/>
    <w:rsid w:val="006A3781"/>
    <w:rsid w:val="006A3E26"/>
    <w:rsid w:val="006A42F4"/>
    <w:rsid w:val="006A4DF4"/>
    <w:rsid w:val="006A4FDD"/>
    <w:rsid w:val="006A502F"/>
    <w:rsid w:val="006A5280"/>
    <w:rsid w:val="006A6170"/>
    <w:rsid w:val="006A617B"/>
    <w:rsid w:val="006A625D"/>
    <w:rsid w:val="006A651F"/>
    <w:rsid w:val="006A67A1"/>
    <w:rsid w:val="006A6B65"/>
    <w:rsid w:val="006A6CBD"/>
    <w:rsid w:val="006A6D59"/>
    <w:rsid w:val="006A6EBC"/>
    <w:rsid w:val="006A6F9B"/>
    <w:rsid w:val="006A703C"/>
    <w:rsid w:val="006A79A5"/>
    <w:rsid w:val="006A7E9C"/>
    <w:rsid w:val="006A7F09"/>
    <w:rsid w:val="006B0537"/>
    <w:rsid w:val="006B095E"/>
    <w:rsid w:val="006B0A7C"/>
    <w:rsid w:val="006B0C34"/>
    <w:rsid w:val="006B0CB0"/>
    <w:rsid w:val="006B245B"/>
    <w:rsid w:val="006B2B48"/>
    <w:rsid w:val="006B3270"/>
    <w:rsid w:val="006B351C"/>
    <w:rsid w:val="006B35BC"/>
    <w:rsid w:val="006B3FCB"/>
    <w:rsid w:val="006B4016"/>
    <w:rsid w:val="006B403A"/>
    <w:rsid w:val="006B46A1"/>
    <w:rsid w:val="006B5744"/>
    <w:rsid w:val="006B5CAC"/>
    <w:rsid w:val="006B5FFC"/>
    <w:rsid w:val="006B6017"/>
    <w:rsid w:val="006B61EA"/>
    <w:rsid w:val="006B63D8"/>
    <w:rsid w:val="006B6945"/>
    <w:rsid w:val="006B6B80"/>
    <w:rsid w:val="006B70D6"/>
    <w:rsid w:val="006B7B29"/>
    <w:rsid w:val="006B7D5B"/>
    <w:rsid w:val="006C1650"/>
    <w:rsid w:val="006C1A80"/>
    <w:rsid w:val="006C1ACD"/>
    <w:rsid w:val="006C1CE7"/>
    <w:rsid w:val="006C2061"/>
    <w:rsid w:val="006C2BFB"/>
    <w:rsid w:val="006C3031"/>
    <w:rsid w:val="006C31F7"/>
    <w:rsid w:val="006C3534"/>
    <w:rsid w:val="006C38EA"/>
    <w:rsid w:val="006C3911"/>
    <w:rsid w:val="006C3A90"/>
    <w:rsid w:val="006C3C6D"/>
    <w:rsid w:val="006C3CD7"/>
    <w:rsid w:val="006C4F01"/>
    <w:rsid w:val="006C5639"/>
    <w:rsid w:val="006C5640"/>
    <w:rsid w:val="006C56E0"/>
    <w:rsid w:val="006C5F3C"/>
    <w:rsid w:val="006C60FA"/>
    <w:rsid w:val="006C6744"/>
    <w:rsid w:val="006C6D3C"/>
    <w:rsid w:val="006C6E4E"/>
    <w:rsid w:val="006C6EBB"/>
    <w:rsid w:val="006C7203"/>
    <w:rsid w:val="006C72BE"/>
    <w:rsid w:val="006C7B9C"/>
    <w:rsid w:val="006C7D22"/>
    <w:rsid w:val="006C7D31"/>
    <w:rsid w:val="006C7F59"/>
    <w:rsid w:val="006C7F97"/>
    <w:rsid w:val="006D012C"/>
    <w:rsid w:val="006D0449"/>
    <w:rsid w:val="006D0515"/>
    <w:rsid w:val="006D0C14"/>
    <w:rsid w:val="006D134D"/>
    <w:rsid w:val="006D1582"/>
    <w:rsid w:val="006D20A5"/>
    <w:rsid w:val="006D22DD"/>
    <w:rsid w:val="006D22EE"/>
    <w:rsid w:val="006D23FC"/>
    <w:rsid w:val="006D24F1"/>
    <w:rsid w:val="006D251B"/>
    <w:rsid w:val="006D282E"/>
    <w:rsid w:val="006D294E"/>
    <w:rsid w:val="006D2C2D"/>
    <w:rsid w:val="006D304F"/>
    <w:rsid w:val="006D323D"/>
    <w:rsid w:val="006D379C"/>
    <w:rsid w:val="006D38D7"/>
    <w:rsid w:val="006D431E"/>
    <w:rsid w:val="006D44B1"/>
    <w:rsid w:val="006D4E2E"/>
    <w:rsid w:val="006D51C5"/>
    <w:rsid w:val="006D5253"/>
    <w:rsid w:val="006D52B5"/>
    <w:rsid w:val="006D588E"/>
    <w:rsid w:val="006D6677"/>
    <w:rsid w:val="006D6724"/>
    <w:rsid w:val="006D67FE"/>
    <w:rsid w:val="006D7281"/>
    <w:rsid w:val="006D777F"/>
    <w:rsid w:val="006D7886"/>
    <w:rsid w:val="006D79B3"/>
    <w:rsid w:val="006E009C"/>
    <w:rsid w:val="006E0FFC"/>
    <w:rsid w:val="006E109D"/>
    <w:rsid w:val="006E12AA"/>
    <w:rsid w:val="006E180D"/>
    <w:rsid w:val="006E1E7C"/>
    <w:rsid w:val="006E22E2"/>
    <w:rsid w:val="006E306A"/>
    <w:rsid w:val="006E3203"/>
    <w:rsid w:val="006E3672"/>
    <w:rsid w:val="006E3CF5"/>
    <w:rsid w:val="006E4950"/>
    <w:rsid w:val="006E4F2E"/>
    <w:rsid w:val="006E5252"/>
    <w:rsid w:val="006E5A53"/>
    <w:rsid w:val="006E5FF6"/>
    <w:rsid w:val="006E658E"/>
    <w:rsid w:val="006E65CA"/>
    <w:rsid w:val="006E682C"/>
    <w:rsid w:val="006E71EC"/>
    <w:rsid w:val="006E7234"/>
    <w:rsid w:val="006E7B23"/>
    <w:rsid w:val="006E7B3A"/>
    <w:rsid w:val="006E7D80"/>
    <w:rsid w:val="006E7E82"/>
    <w:rsid w:val="006F0224"/>
    <w:rsid w:val="006F0700"/>
    <w:rsid w:val="006F07EB"/>
    <w:rsid w:val="006F0C26"/>
    <w:rsid w:val="006F0C7E"/>
    <w:rsid w:val="006F14D3"/>
    <w:rsid w:val="006F17CC"/>
    <w:rsid w:val="006F188B"/>
    <w:rsid w:val="006F194C"/>
    <w:rsid w:val="006F1D25"/>
    <w:rsid w:val="006F1D8E"/>
    <w:rsid w:val="006F2130"/>
    <w:rsid w:val="006F2143"/>
    <w:rsid w:val="006F234E"/>
    <w:rsid w:val="006F28CF"/>
    <w:rsid w:val="006F29CC"/>
    <w:rsid w:val="006F2B66"/>
    <w:rsid w:val="006F2FE8"/>
    <w:rsid w:val="006F3547"/>
    <w:rsid w:val="006F3575"/>
    <w:rsid w:val="006F36A7"/>
    <w:rsid w:val="006F3986"/>
    <w:rsid w:val="006F3BE6"/>
    <w:rsid w:val="006F3F22"/>
    <w:rsid w:val="006F492A"/>
    <w:rsid w:val="006F4A3A"/>
    <w:rsid w:val="006F4B12"/>
    <w:rsid w:val="006F5137"/>
    <w:rsid w:val="006F5148"/>
    <w:rsid w:val="006F5531"/>
    <w:rsid w:val="006F573A"/>
    <w:rsid w:val="006F5AC7"/>
    <w:rsid w:val="006F5B1F"/>
    <w:rsid w:val="006F5D62"/>
    <w:rsid w:val="006F5E45"/>
    <w:rsid w:val="006F6359"/>
    <w:rsid w:val="006F6DEC"/>
    <w:rsid w:val="006F741A"/>
    <w:rsid w:val="006F76E9"/>
    <w:rsid w:val="006F7AED"/>
    <w:rsid w:val="006F7C9D"/>
    <w:rsid w:val="006F7D59"/>
    <w:rsid w:val="006F7FB1"/>
    <w:rsid w:val="00701620"/>
    <w:rsid w:val="007016C6"/>
    <w:rsid w:val="00701926"/>
    <w:rsid w:val="007019D8"/>
    <w:rsid w:val="00701CEA"/>
    <w:rsid w:val="007021BC"/>
    <w:rsid w:val="0070248C"/>
    <w:rsid w:val="0070294D"/>
    <w:rsid w:val="007029EC"/>
    <w:rsid w:val="00702AF3"/>
    <w:rsid w:val="00702EB6"/>
    <w:rsid w:val="00702FF3"/>
    <w:rsid w:val="00703163"/>
    <w:rsid w:val="007032DE"/>
    <w:rsid w:val="007037A6"/>
    <w:rsid w:val="00703A9E"/>
    <w:rsid w:val="00703AAF"/>
    <w:rsid w:val="00703F89"/>
    <w:rsid w:val="00704081"/>
    <w:rsid w:val="0070430A"/>
    <w:rsid w:val="00704514"/>
    <w:rsid w:val="00704B2E"/>
    <w:rsid w:val="00704C0C"/>
    <w:rsid w:val="007056E8"/>
    <w:rsid w:val="00705AD4"/>
    <w:rsid w:val="00705E32"/>
    <w:rsid w:val="00705EDF"/>
    <w:rsid w:val="00706605"/>
    <w:rsid w:val="0071021C"/>
    <w:rsid w:val="007103E9"/>
    <w:rsid w:val="0071078C"/>
    <w:rsid w:val="0071083E"/>
    <w:rsid w:val="00710BA6"/>
    <w:rsid w:val="007110EE"/>
    <w:rsid w:val="00711279"/>
    <w:rsid w:val="007114CA"/>
    <w:rsid w:val="00711B83"/>
    <w:rsid w:val="00711C9A"/>
    <w:rsid w:val="007123E3"/>
    <w:rsid w:val="007124CB"/>
    <w:rsid w:val="00712561"/>
    <w:rsid w:val="00712F7B"/>
    <w:rsid w:val="00713008"/>
    <w:rsid w:val="00713467"/>
    <w:rsid w:val="007135ED"/>
    <w:rsid w:val="007136D0"/>
    <w:rsid w:val="0071370F"/>
    <w:rsid w:val="00713DAD"/>
    <w:rsid w:val="00713FF8"/>
    <w:rsid w:val="0071432D"/>
    <w:rsid w:val="0071498B"/>
    <w:rsid w:val="00714D73"/>
    <w:rsid w:val="00714E27"/>
    <w:rsid w:val="007151E8"/>
    <w:rsid w:val="007152DC"/>
    <w:rsid w:val="00715D85"/>
    <w:rsid w:val="007169FD"/>
    <w:rsid w:val="00716EE8"/>
    <w:rsid w:val="007172E8"/>
    <w:rsid w:val="00717FD8"/>
    <w:rsid w:val="00720086"/>
    <w:rsid w:val="00720337"/>
    <w:rsid w:val="007204A8"/>
    <w:rsid w:val="007204BE"/>
    <w:rsid w:val="00720D49"/>
    <w:rsid w:val="00720D4B"/>
    <w:rsid w:val="00720D5F"/>
    <w:rsid w:val="00720FAE"/>
    <w:rsid w:val="007217EB"/>
    <w:rsid w:val="007218C0"/>
    <w:rsid w:val="00722121"/>
    <w:rsid w:val="00722828"/>
    <w:rsid w:val="00722AF0"/>
    <w:rsid w:val="007230DA"/>
    <w:rsid w:val="00723400"/>
    <w:rsid w:val="0072363C"/>
    <w:rsid w:val="00723CDC"/>
    <w:rsid w:val="00723D67"/>
    <w:rsid w:val="00723E96"/>
    <w:rsid w:val="0072419A"/>
    <w:rsid w:val="00724909"/>
    <w:rsid w:val="00724B28"/>
    <w:rsid w:val="00724D48"/>
    <w:rsid w:val="00724DDE"/>
    <w:rsid w:val="00724DFF"/>
    <w:rsid w:val="00724F19"/>
    <w:rsid w:val="00725808"/>
    <w:rsid w:val="007267FF"/>
    <w:rsid w:val="007269DE"/>
    <w:rsid w:val="007269E4"/>
    <w:rsid w:val="00726ABE"/>
    <w:rsid w:val="00726E24"/>
    <w:rsid w:val="00727233"/>
    <w:rsid w:val="007276AD"/>
    <w:rsid w:val="00730786"/>
    <w:rsid w:val="00730F11"/>
    <w:rsid w:val="00731308"/>
    <w:rsid w:val="0073132C"/>
    <w:rsid w:val="0073170D"/>
    <w:rsid w:val="00732469"/>
    <w:rsid w:val="00732B57"/>
    <w:rsid w:val="00732BB4"/>
    <w:rsid w:val="00732BEE"/>
    <w:rsid w:val="00732EE5"/>
    <w:rsid w:val="00733BE5"/>
    <w:rsid w:val="00733DBB"/>
    <w:rsid w:val="00733DEE"/>
    <w:rsid w:val="00734B2A"/>
    <w:rsid w:val="00734EEC"/>
    <w:rsid w:val="00734FE4"/>
    <w:rsid w:val="007352D4"/>
    <w:rsid w:val="0073605A"/>
    <w:rsid w:val="0073625F"/>
    <w:rsid w:val="00736533"/>
    <w:rsid w:val="007365B8"/>
    <w:rsid w:val="00736DC0"/>
    <w:rsid w:val="00736ECF"/>
    <w:rsid w:val="00737409"/>
    <w:rsid w:val="0073752C"/>
    <w:rsid w:val="0073798F"/>
    <w:rsid w:val="007379D8"/>
    <w:rsid w:val="00737FD5"/>
    <w:rsid w:val="00740056"/>
    <w:rsid w:val="00740085"/>
    <w:rsid w:val="00740942"/>
    <w:rsid w:val="00740A0D"/>
    <w:rsid w:val="00740BAB"/>
    <w:rsid w:val="00740C08"/>
    <w:rsid w:val="00740D88"/>
    <w:rsid w:val="00741E28"/>
    <w:rsid w:val="007422BC"/>
    <w:rsid w:val="00742429"/>
    <w:rsid w:val="007428C5"/>
    <w:rsid w:val="0074294B"/>
    <w:rsid w:val="007429DC"/>
    <w:rsid w:val="00742FE0"/>
    <w:rsid w:val="007430DF"/>
    <w:rsid w:val="0074357F"/>
    <w:rsid w:val="00743825"/>
    <w:rsid w:val="00743D3F"/>
    <w:rsid w:val="007446B1"/>
    <w:rsid w:val="007448FB"/>
    <w:rsid w:val="00744B54"/>
    <w:rsid w:val="00744EA3"/>
    <w:rsid w:val="007450A1"/>
    <w:rsid w:val="00745A15"/>
    <w:rsid w:val="00745E59"/>
    <w:rsid w:val="0074692C"/>
    <w:rsid w:val="007469C3"/>
    <w:rsid w:val="00746E85"/>
    <w:rsid w:val="00746EBB"/>
    <w:rsid w:val="00747321"/>
    <w:rsid w:val="00747E8D"/>
    <w:rsid w:val="00750281"/>
    <w:rsid w:val="007503AD"/>
    <w:rsid w:val="00751071"/>
    <w:rsid w:val="00751388"/>
    <w:rsid w:val="0075139C"/>
    <w:rsid w:val="00751466"/>
    <w:rsid w:val="00751469"/>
    <w:rsid w:val="0075187C"/>
    <w:rsid w:val="00751A7A"/>
    <w:rsid w:val="00751B56"/>
    <w:rsid w:val="00752440"/>
    <w:rsid w:val="0075256D"/>
    <w:rsid w:val="007525A0"/>
    <w:rsid w:val="00752856"/>
    <w:rsid w:val="00752CCB"/>
    <w:rsid w:val="00753176"/>
    <w:rsid w:val="00753501"/>
    <w:rsid w:val="00753BED"/>
    <w:rsid w:val="00753CAB"/>
    <w:rsid w:val="007540C6"/>
    <w:rsid w:val="00754499"/>
    <w:rsid w:val="007548D7"/>
    <w:rsid w:val="0075492A"/>
    <w:rsid w:val="00754AE8"/>
    <w:rsid w:val="00754C59"/>
    <w:rsid w:val="00755514"/>
    <w:rsid w:val="00755A2B"/>
    <w:rsid w:val="00755DEC"/>
    <w:rsid w:val="00756019"/>
    <w:rsid w:val="007560EC"/>
    <w:rsid w:val="00756329"/>
    <w:rsid w:val="00756340"/>
    <w:rsid w:val="007565D8"/>
    <w:rsid w:val="00756755"/>
    <w:rsid w:val="00756BD3"/>
    <w:rsid w:val="00756C7E"/>
    <w:rsid w:val="00757077"/>
    <w:rsid w:val="00757943"/>
    <w:rsid w:val="00757F99"/>
    <w:rsid w:val="007602E7"/>
    <w:rsid w:val="0076036D"/>
    <w:rsid w:val="007607C9"/>
    <w:rsid w:val="00760883"/>
    <w:rsid w:val="00760B48"/>
    <w:rsid w:val="00760CC2"/>
    <w:rsid w:val="00760ED0"/>
    <w:rsid w:val="007612F8"/>
    <w:rsid w:val="00761597"/>
    <w:rsid w:val="00761C47"/>
    <w:rsid w:val="00762595"/>
    <w:rsid w:val="007627BB"/>
    <w:rsid w:val="00762961"/>
    <w:rsid w:val="00762BAC"/>
    <w:rsid w:val="007631A6"/>
    <w:rsid w:val="00763AC5"/>
    <w:rsid w:val="00763CB7"/>
    <w:rsid w:val="00763D7E"/>
    <w:rsid w:val="00763DAE"/>
    <w:rsid w:val="00763E94"/>
    <w:rsid w:val="007641BD"/>
    <w:rsid w:val="00764474"/>
    <w:rsid w:val="0076499A"/>
    <w:rsid w:val="00764E20"/>
    <w:rsid w:val="00764FC2"/>
    <w:rsid w:val="0076551D"/>
    <w:rsid w:val="00765821"/>
    <w:rsid w:val="00765853"/>
    <w:rsid w:val="00765897"/>
    <w:rsid w:val="00765B6C"/>
    <w:rsid w:val="00765CF5"/>
    <w:rsid w:val="00765FA4"/>
    <w:rsid w:val="007660B2"/>
    <w:rsid w:val="007669DF"/>
    <w:rsid w:val="00767AE4"/>
    <w:rsid w:val="00770774"/>
    <w:rsid w:val="00770DAE"/>
    <w:rsid w:val="00770DDA"/>
    <w:rsid w:val="00770E26"/>
    <w:rsid w:val="007711B4"/>
    <w:rsid w:val="00771589"/>
    <w:rsid w:val="007719D6"/>
    <w:rsid w:val="00771AF3"/>
    <w:rsid w:val="007726C7"/>
    <w:rsid w:val="00772D03"/>
    <w:rsid w:val="00773097"/>
    <w:rsid w:val="007730FC"/>
    <w:rsid w:val="0077336E"/>
    <w:rsid w:val="00773C54"/>
    <w:rsid w:val="00773C74"/>
    <w:rsid w:val="00773E98"/>
    <w:rsid w:val="00775023"/>
    <w:rsid w:val="0077538E"/>
    <w:rsid w:val="00775ACF"/>
    <w:rsid w:val="00775D24"/>
    <w:rsid w:val="007764C9"/>
    <w:rsid w:val="007770F7"/>
    <w:rsid w:val="00777221"/>
    <w:rsid w:val="00777E08"/>
    <w:rsid w:val="00780406"/>
    <w:rsid w:val="0078147D"/>
    <w:rsid w:val="00781A93"/>
    <w:rsid w:val="00781B4D"/>
    <w:rsid w:val="00781BA0"/>
    <w:rsid w:val="00781EEB"/>
    <w:rsid w:val="0078201E"/>
    <w:rsid w:val="0078258C"/>
    <w:rsid w:val="00782A5E"/>
    <w:rsid w:val="00782BB0"/>
    <w:rsid w:val="00782E35"/>
    <w:rsid w:val="00782EBE"/>
    <w:rsid w:val="00782F18"/>
    <w:rsid w:val="0078485C"/>
    <w:rsid w:val="00784DD4"/>
    <w:rsid w:val="00785247"/>
    <w:rsid w:val="00785447"/>
    <w:rsid w:val="007855D8"/>
    <w:rsid w:val="00785D96"/>
    <w:rsid w:val="00785F65"/>
    <w:rsid w:val="0078659E"/>
    <w:rsid w:val="007866AB"/>
    <w:rsid w:val="007867DC"/>
    <w:rsid w:val="00786994"/>
    <w:rsid w:val="00786AE6"/>
    <w:rsid w:val="00787164"/>
    <w:rsid w:val="007877BA"/>
    <w:rsid w:val="00787BC8"/>
    <w:rsid w:val="00787E27"/>
    <w:rsid w:val="00787EE0"/>
    <w:rsid w:val="0078A9FA"/>
    <w:rsid w:val="007902EF"/>
    <w:rsid w:val="00790806"/>
    <w:rsid w:val="0079180E"/>
    <w:rsid w:val="007918F3"/>
    <w:rsid w:val="007919D0"/>
    <w:rsid w:val="00791A4A"/>
    <w:rsid w:val="00791D5B"/>
    <w:rsid w:val="00792110"/>
    <w:rsid w:val="007932D4"/>
    <w:rsid w:val="0079347D"/>
    <w:rsid w:val="00793CC9"/>
    <w:rsid w:val="007941D6"/>
    <w:rsid w:val="0079450A"/>
    <w:rsid w:val="0079461E"/>
    <w:rsid w:val="007946CB"/>
    <w:rsid w:val="0079530F"/>
    <w:rsid w:val="007953FE"/>
    <w:rsid w:val="007959E5"/>
    <w:rsid w:val="00795C40"/>
    <w:rsid w:val="00795E95"/>
    <w:rsid w:val="00796284"/>
    <w:rsid w:val="00796AF9"/>
    <w:rsid w:val="00796BA1"/>
    <w:rsid w:val="00796C27"/>
    <w:rsid w:val="00797349"/>
    <w:rsid w:val="00797406"/>
    <w:rsid w:val="007A043C"/>
    <w:rsid w:val="007A0441"/>
    <w:rsid w:val="007A10ED"/>
    <w:rsid w:val="007A1419"/>
    <w:rsid w:val="007A16C9"/>
    <w:rsid w:val="007A19FD"/>
    <w:rsid w:val="007A1D8B"/>
    <w:rsid w:val="007A3690"/>
    <w:rsid w:val="007A3C50"/>
    <w:rsid w:val="007A4100"/>
    <w:rsid w:val="007A41AE"/>
    <w:rsid w:val="007A442B"/>
    <w:rsid w:val="007A46CC"/>
    <w:rsid w:val="007A4A88"/>
    <w:rsid w:val="007A4F2F"/>
    <w:rsid w:val="007A4FCC"/>
    <w:rsid w:val="007A4FDB"/>
    <w:rsid w:val="007A53B7"/>
    <w:rsid w:val="007A53F9"/>
    <w:rsid w:val="007A5B16"/>
    <w:rsid w:val="007A5FD2"/>
    <w:rsid w:val="007A60B2"/>
    <w:rsid w:val="007A6311"/>
    <w:rsid w:val="007A63FF"/>
    <w:rsid w:val="007A6B41"/>
    <w:rsid w:val="007B054F"/>
    <w:rsid w:val="007B0F7B"/>
    <w:rsid w:val="007B133B"/>
    <w:rsid w:val="007B18A8"/>
    <w:rsid w:val="007B1BDF"/>
    <w:rsid w:val="007B1D13"/>
    <w:rsid w:val="007B2008"/>
    <w:rsid w:val="007B29E7"/>
    <w:rsid w:val="007B320D"/>
    <w:rsid w:val="007B3710"/>
    <w:rsid w:val="007B385D"/>
    <w:rsid w:val="007B38DD"/>
    <w:rsid w:val="007B3A0C"/>
    <w:rsid w:val="007B3E43"/>
    <w:rsid w:val="007B3E53"/>
    <w:rsid w:val="007B3F25"/>
    <w:rsid w:val="007B3F9C"/>
    <w:rsid w:val="007B3FB7"/>
    <w:rsid w:val="007B49CD"/>
    <w:rsid w:val="007B4D32"/>
    <w:rsid w:val="007B4D45"/>
    <w:rsid w:val="007B4E94"/>
    <w:rsid w:val="007B4EE2"/>
    <w:rsid w:val="007B5AD9"/>
    <w:rsid w:val="007B5EF8"/>
    <w:rsid w:val="007B641F"/>
    <w:rsid w:val="007B6919"/>
    <w:rsid w:val="007B6D1F"/>
    <w:rsid w:val="007B7549"/>
    <w:rsid w:val="007B757D"/>
    <w:rsid w:val="007B7723"/>
    <w:rsid w:val="007B78B9"/>
    <w:rsid w:val="007B7A18"/>
    <w:rsid w:val="007B7BEB"/>
    <w:rsid w:val="007B7C38"/>
    <w:rsid w:val="007C0A40"/>
    <w:rsid w:val="007C0C1E"/>
    <w:rsid w:val="007C21F3"/>
    <w:rsid w:val="007C22A0"/>
    <w:rsid w:val="007C22D8"/>
    <w:rsid w:val="007C2572"/>
    <w:rsid w:val="007C2A36"/>
    <w:rsid w:val="007C2D30"/>
    <w:rsid w:val="007C3390"/>
    <w:rsid w:val="007C3395"/>
    <w:rsid w:val="007C3681"/>
    <w:rsid w:val="007C3D11"/>
    <w:rsid w:val="007C3E5D"/>
    <w:rsid w:val="007C3EE6"/>
    <w:rsid w:val="007C4B46"/>
    <w:rsid w:val="007C4C89"/>
    <w:rsid w:val="007C5095"/>
    <w:rsid w:val="007C5C4B"/>
    <w:rsid w:val="007C5E18"/>
    <w:rsid w:val="007C6E5B"/>
    <w:rsid w:val="007C6FFA"/>
    <w:rsid w:val="007C7473"/>
    <w:rsid w:val="007C7596"/>
    <w:rsid w:val="007C7A8E"/>
    <w:rsid w:val="007C7C6F"/>
    <w:rsid w:val="007C7F2A"/>
    <w:rsid w:val="007D00A5"/>
    <w:rsid w:val="007D01B9"/>
    <w:rsid w:val="007D01BD"/>
    <w:rsid w:val="007D0884"/>
    <w:rsid w:val="007D0FC6"/>
    <w:rsid w:val="007D1A84"/>
    <w:rsid w:val="007D1BA8"/>
    <w:rsid w:val="007D2254"/>
    <w:rsid w:val="007D270F"/>
    <w:rsid w:val="007D299A"/>
    <w:rsid w:val="007D2A56"/>
    <w:rsid w:val="007D2B46"/>
    <w:rsid w:val="007D2E89"/>
    <w:rsid w:val="007D2FA4"/>
    <w:rsid w:val="007D3001"/>
    <w:rsid w:val="007D3129"/>
    <w:rsid w:val="007D3183"/>
    <w:rsid w:val="007D3442"/>
    <w:rsid w:val="007D41D0"/>
    <w:rsid w:val="007D4225"/>
    <w:rsid w:val="007D4284"/>
    <w:rsid w:val="007D4472"/>
    <w:rsid w:val="007D491D"/>
    <w:rsid w:val="007D4AE3"/>
    <w:rsid w:val="007D4F56"/>
    <w:rsid w:val="007D506C"/>
    <w:rsid w:val="007D5203"/>
    <w:rsid w:val="007D55A9"/>
    <w:rsid w:val="007D6A0E"/>
    <w:rsid w:val="007D6EC5"/>
    <w:rsid w:val="007D71E9"/>
    <w:rsid w:val="007D7450"/>
    <w:rsid w:val="007D79DF"/>
    <w:rsid w:val="007E0810"/>
    <w:rsid w:val="007E0A88"/>
    <w:rsid w:val="007E0D8E"/>
    <w:rsid w:val="007E0EA7"/>
    <w:rsid w:val="007E1035"/>
    <w:rsid w:val="007E1126"/>
    <w:rsid w:val="007E120E"/>
    <w:rsid w:val="007E14BB"/>
    <w:rsid w:val="007E1BD8"/>
    <w:rsid w:val="007E2036"/>
    <w:rsid w:val="007E2192"/>
    <w:rsid w:val="007E35DC"/>
    <w:rsid w:val="007E367E"/>
    <w:rsid w:val="007E37E3"/>
    <w:rsid w:val="007E3B3B"/>
    <w:rsid w:val="007E4014"/>
    <w:rsid w:val="007E4C12"/>
    <w:rsid w:val="007E4CB5"/>
    <w:rsid w:val="007E5E63"/>
    <w:rsid w:val="007E69BB"/>
    <w:rsid w:val="007E6E72"/>
    <w:rsid w:val="007E723F"/>
    <w:rsid w:val="007E7E39"/>
    <w:rsid w:val="007E7F08"/>
    <w:rsid w:val="007E7F43"/>
    <w:rsid w:val="007F013A"/>
    <w:rsid w:val="007F02E2"/>
    <w:rsid w:val="007F0BA6"/>
    <w:rsid w:val="007F0DDB"/>
    <w:rsid w:val="007F1DE0"/>
    <w:rsid w:val="007F217B"/>
    <w:rsid w:val="007F300E"/>
    <w:rsid w:val="007F34AA"/>
    <w:rsid w:val="007F370A"/>
    <w:rsid w:val="007F37D0"/>
    <w:rsid w:val="007F3829"/>
    <w:rsid w:val="007F385A"/>
    <w:rsid w:val="007F393C"/>
    <w:rsid w:val="007F3FA9"/>
    <w:rsid w:val="007F4064"/>
    <w:rsid w:val="007F4216"/>
    <w:rsid w:val="007F45FF"/>
    <w:rsid w:val="007F4C88"/>
    <w:rsid w:val="007F4DD9"/>
    <w:rsid w:val="007F4E85"/>
    <w:rsid w:val="007F4EA5"/>
    <w:rsid w:val="007F4EDF"/>
    <w:rsid w:val="007F5383"/>
    <w:rsid w:val="007F5998"/>
    <w:rsid w:val="007F5D34"/>
    <w:rsid w:val="007F5E74"/>
    <w:rsid w:val="007F619E"/>
    <w:rsid w:val="007F6618"/>
    <w:rsid w:val="007F6AD6"/>
    <w:rsid w:val="007F6CCC"/>
    <w:rsid w:val="007F6DD8"/>
    <w:rsid w:val="007F7D8A"/>
    <w:rsid w:val="007F7FC7"/>
    <w:rsid w:val="00800635"/>
    <w:rsid w:val="00800BD7"/>
    <w:rsid w:val="008020B8"/>
    <w:rsid w:val="008028F0"/>
    <w:rsid w:val="008028F8"/>
    <w:rsid w:val="00802903"/>
    <w:rsid w:val="00802F50"/>
    <w:rsid w:val="00803087"/>
    <w:rsid w:val="0080395E"/>
    <w:rsid w:val="00803E44"/>
    <w:rsid w:val="00803F52"/>
    <w:rsid w:val="0080426D"/>
    <w:rsid w:val="00804272"/>
    <w:rsid w:val="0080491A"/>
    <w:rsid w:val="00805855"/>
    <w:rsid w:val="008058B8"/>
    <w:rsid w:val="00805985"/>
    <w:rsid w:val="00805B9B"/>
    <w:rsid w:val="008062A6"/>
    <w:rsid w:val="008062C0"/>
    <w:rsid w:val="00806353"/>
    <w:rsid w:val="00806891"/>
    <w:rsid w:val="00806ACF"/>
    <w:rsid w:val="00806BF0"/>
    <w:rsid w:val="00806D69"/>
    <w:rsid w:val="00806F8B"/>
    <w:rsid w:val="008071E2"/>
    <w:rsid w:val="00807631"/>
    <w:rsid w:val="008076CA"/>
    <w:rsid w:val="00807789"/>
    <w:rsid w:val="008077F2"/>
    <w:rsid w:val="0080791D"/>
    <w:rsid w:val="00807B94"/>
    <w:rsid w:val="008101FC"/>
    <w:rsid w:val="00810BE6"/>
    <w:rsid w:val="00810CE8"/>
    <w:rsid w:val="00810E82"/>
    <w:rsid w:val="00811027"/>
    <w:rsid w:val="00811045"/>
    <w:rsid w:val="00811470"/>
    <w:rsid w:val="00811AA9"/>
    <w:rsid w:val="008123ED"/>
    <w:rsid w:val="0081265C"/>
    <w:rsid w:val="00812A64"/>
    <w:rsid w:val="00812D2C"/>
    <w:rsid w:val="00812E9E"/>
    <w:rsid w:val="0081362F"/>
    <w:rsid w:val="00814446"/>
    <w:rsid w:val="00814F20"/>
    <w:rsid w:val="00815965"/>
    <w:rsid w:val="008160B1"/>
    <w:rsid w:val="0081619C"/>
    <w:rsid w:val="008164DC"/>
    <w:rsid w:val="00816D3F"/>
    <w:rsid w:val="00816E25"/>
    <w:rsid w:val="008175C4"/>
    <w:rsid w:val="008177B8"/>
    <w:rsid w:val="00817B45"/>
    <w:rsid w:val="0082062A"/>
    <w:rsid w:val="00820F94"/>
    <w:rsid w:val="008210B6"/>
    <w:rsid w:val="0082133A"/>
    <w:rsid w:val="0082141F"/>
    <w:rsid w:val="008219FD"/>
    <w:rsid w:val="0082201F"/>
    <w:rsid w:val="008220EA"/>
    <w:rsid w:val="00822162"/>
    <w:rsid w:val="00822B2D"/>
    <w:rsid w:val="00823045"/>
    <w:rsid w:val="008233E1"/>
    <w:rsid w:val="0082364A"/>
    <w:rsid w:val="00823AB8"/>
    <w:rsid w:val="00823EDE"/>
    <w:rsid w:val="008241D8"/>
    <w:rsid w:val="0082469B"/>
    <w:rsid w:val="00824A11"/>
    <w:rsid w:val="00824A41"/>
    <w:rsid w:val="00824AE2"/>
    <w:rsid w:val="00824E0B"/>
    <w:rsid w:val="0082518F"/>
    <w:rsid w:val="00825252"/>
    <w:rsid w:val="00825E92"/>
    <w:rsid w:val="008264D2"/>
    <w:rsid w:val="00826EA0"/>
    <w:rsid w:val="00827313"/>
    <w:rsid w:val="00827999"/>
    <w:rsid w:val="00827C77"/>
    <w:rsid w:val="00827C91"/>
    <w:rsid w:val="00827E9E"/>
    <w:rsid w:val="00830304"/>
    <w:rsid w:val="0083091A"/>
    <w:rsid w:val="00831B8B"/>
    <w:rsid w:val="00831C35"/>
    <w:rsid w:val="00831FC2"/>
    <w:rsid w:val="00832614"/>
    <w:rsid w:val="00832712"/>
    <w:rsid w:val="0083280D"/>
    <w:rsid w:val="00832A75"/>
    <w:rsid w:val="00832BE0"/>
    <w:rsid w:val="00833133"/>
    <w:rsid w:val="008332A3"/>
    <w:rsid w:val="008335A9"/>
    <w:rsid w:val="008345C1"/>
    <w:rsid w:val="00834D80"/>
    <w:rsid w:val="008351B6"/>
    <w:rsid w:val="00835386"/>
    <w:rsid w:val="00835A03"/>
    <w:rsid w:val="00835F3F"/>
    <w:rsid w:val="00835F85"/>
    <w:rsid w:val="0083636F"/>
    <w:rsid w:val="00836443"/>
    <w:rsid w:val="00836602"/>
    <w:rsid w:val="00836954"/>
    <w:rsid w:val="008369E8"/>
    <w:rsid w:val="00836C97"/>
    <w:rsid w:val="00836F3B"/>
    <w:rsid w:val="00837430"/>
    <w:rsid w:val="008376C9"/>
    <w:rsid w:val="00837CA8"/>
    <w:rsid w:val="00840BBD"/>
    <w:rsid w:val="00840E22"/>
    <w:rsid w:val="0084140B"/>
    <w:rsid w:val="00841758"/>
    <w:rsid w:val="008419F9"/>
    <w:rsid w:val="00841C12"/>
    <w:rsid w:val="00841E3A"/>
    <w:rsid w:val="00841FA0"/>
    <w:rsid w:val="00841FCB"/>
    <w:rsid w:val="008421E8"/>
    <w:rsid w:val="0084220F"/>
    <w:rsid w:val="00842BD3"/>
    <w:rsid w:val="00842ECD"/>
    <w:rsid w:val="00843653"/>
    <w:rsid w:val="0084366D"/>
    <w:rsid w:val="00843C4F"/>
    <w:rsid w:val="00843FDE"/>
    <w:rsid w:val="00844252"/>
    <w:rsid w:val="008449B3"/>
    <w:rsid w:val="00844AB1"/>
    <w:rsid w:val="00844C9D"/>
    <w:rsid w:val="0084526C"/>
    <w:rsid w:val="008457FE"/>
    <w:rsid w:val="00845A71"/>
    <w:rsid w:val="00845D0A"/>
    <w:rsid w:val="00846AF4"/>
    <w:rsid w:val="00846C90"/>
    <w:rsid w:val="00846CF7"/>
    <w:rsid w:val="00847753"/>
    <w:rsid w:val="00847C15"/>
    <w:rsid w:val="00847EB0"/>
    <w:rsid w:val="00851267"/>
    <w:rsid w:val="0085207A"/>
    <w:rsid w:val="0085238C"/>
    <w:rsid w:val="008523EF"/>
    <w:rsid w:val="00852770"/>
    <w:rsid w:val="00853480"/>
    <w:rsid w:val="00853976"/>
    <w:rsid w:val="00853A2E"/>
    <w:rsid w:val="00853BE3"/>
    <w:rsid w:val="00853E60"/>
    <w:rsid w:val="00853FBB"/>
    <w:rsid w:val="00854661"/>
    <w:rsid w:val="00854891"/>
    <w:rsid w:val="00854AA8"/>
    <w:rsid w:val="00854FF3"/>
    <w:rsid w:val="0085524D"/>
    <w:rsid w:val="0085527D"/>
    <w:rsid w:val="008558AA"/>
    <w:rsid w:val="00855B88"/>
    <w:rsid w:val="008561AE"/>
    <w:rsid w:val="00856CA4"/>
    <w:rsid w:val="00856FA3"/>
    <w:rsid w:val="008578AB"/>
    <w:rsid w:val="00857DA7"/>
    <w:rsid w:val="0086058A"/>
    <w:rsid w:val="00860AC6"/>
    <w:rsid w:val="00860C9E"/>
    <w:rsid w:val="00861020"/>
    <w:rsid w:val="00861CAF"/>
    <w:rsid w:val="00862AA3"/>
    <w:rsid w:val="008631B4"/>
    <w:rsid w:val="008634BB"/>
    <w:rsid w:val="0086357F"/>
    <w:rsid w:val="008637E9"/>
    <w:rsid w:val="00863CE9"/>
    <w:rsid w:val="00863F07"/>
    <w:rsid w:val="00863FC0"/>
    <w:rsid w:val="008640DB"/>
    <w:rsid w:val="008648B1"/>
    <w:rsid w:val="00865BCE"/>
    <w:rsid w:val="00866698"/>
    <w:rsid w:val="008675B1"/>
    <w:rsid w:val="0087035C"/>
    <w:rsid w:val="008704EA"/>
    <w:rsid w:val="0087079F"/>
    <w:rsid w:val="00870A8D"/>
    <w:rsid w:val="00870BE2"/>
    <w:rsid w:val="00870D2D"/>
    <w:rsid w:val="00870DDA"/>
    <w:rsid w:val="00871415"/>
    <w:rsid w:val="0087147A"/>
    <w:rsid w:val="00871871"/>
    <w:rsid w:val="00871976"/>
    <w:rsid w:val="008720D4"/>
    <w:rsid w:val="008721F2"/>
    <w:rsid w:val="0087241D"/>
    <w:rsid w:val="0087343D"/>
    <w:rsid w:val="008736CA"/>
    <w:rsid w:val="00873B8C"/>
    <w:rsid w:val="00873BA9"/>
    <w:rsid w:val="00873E17"/>
    <w:rsid w:val="00874639"/>
    <w:rsid w:val="00874872"/>
    <w:rsid w:val="00874AD3"/>
    <w:rsid w:val="00874E7B"/>
    <w:rsid w:val="00874EF1"/>
    <w:rsid w:val="00875AB1"/>
    <w:rsid w:val="00875E01"/>
    <w:rsid w:val="008760A2"/>
    <w:rsid w:val="0087623B"/>
    <w:rsid w:val="00876247"/>
    <w:rsid w:val="00876C64"/>
    <w:rsid w:val="00876D53"/>
    <w:rsid w:val="0087708E"/>
    <w:rsid w:val="008770AF"/>
    <w:rsid w:val="0087712C"/>
    <w:rsid w:val="008772F7"/>
    <w:rsid w:val="0087747A"/>
    <w:rsid w:val="00877AF7"/>
    <w:rsid w:val="00880BFE"/>
    <w:rsid w:val="00880E95"/>
    <w:rsid w:val="00881D2A"/>
    <w:rsid w:val="00881E40"/>
    <w:rsid w:val="00882341"/>
    <w:rsid w:val="00882514"/>
    <w:rsid w:val="00882845"/>
    <w:rsid w:val="00882892"/>
    <w:rsid w:val="00883092"/>
    <w:rsid w:val="00883BFF"/>
    <w:rsid w:val="00883CFD"/>
    <w:rsid w:val="0088544A"/>
    <w:rsid w:val="008858D4"/>
    <w:rsid w:val="00885C16"/>
    <w:rsid w:val="00885CA8"/>
    <w:rsid w:val="00885D16"/>
    <w:rsid w:val="00885FD0"/>
    <w:rsid w:val="00886210"/>
    <w:rsid w:val="008865FE"/>
    <w:rsid w:val="00886F25"/>
    <w:rsid w:val="0088725A"/>
    <w:rsid w:val="00887A73"/>
    <w:rsid w:val="00887B00"/>
    <w:rsid w:val="00887D2F"/>
    <w:rsid w:val="008902A8"/>
    <w:rsid w:val="008905B4"/>
    <w:rsid w:val="008906E0"/>
    <w:rsid w:val="0089070B"/>
    <w:rsid w:val="00891BBF"/>
    <w:rsid w:val="00891C36"/>
    <w:rsid w:val="00891D0A"/>
    <w:rsid w:val="00891E12"/>
    <w:rsid w:val="008922CA"/>
    <w:rsid w:val="00893053"/>
    <w:rsid w:val="00893578"/>
    <w:rsid w:val="00893867"/>
    <w:rsid w:val="00893917"/>
    <w:rsid w:val="00893F4F"/>
    <w:rsid w:val="00893FFF"/>
    <w:rsid w:val="008942A4"/>
    <w:rsid w:val="0089433D"/>
    <w:rsid w:val="00894BF7"/>
    <w:rsid w:val="00894C0D"/>
    <w:rsid w:val="00894C0F"/>
    <w:rsid w:val="00894E4D"/>
    <w:rsid w:val="00894E75"/>
    <w:rsid w:val="00894EB6"/>
    <w:rsid w:val="0089545F"/>
    <w:rsid w:val="008955BA"/>
    <w:rsid w:val="008961F5"/>
    <w:rsid w:val="00896966"/>
    <w:rsid w:val="00896B56"/>
    <w:rsid w:val="008971F3"/>
    <w:rsid w:val="00897333"/>
    <w:rsid w:val="008978FB"/>
    <w:rsid w:val="00897992"/>
    <w:rsid w:val="00897B3F"/>
    <w:rsid w:val="00897ED0"/>
    <w:rsid w:val="0089D356"/>
    <w:rsid w:val="008A0372"/>
    <w:rsid w:val="008A060C"/>
    <w:rsid w:val="008A074D"/>
    <w:rsid w:val="008A08C1"/>
    <w:rsid w:val="008A1386"/>
    <w:rsid w:val="008A1E1D"/>
    <w:rsid w:val="008A233E"/>
    <w:rsid w:val="008A2AE5"/>
    <w:rsid w:val="008A2B04"/>
    <w:rsid w:val="008A2CE3"/>
    <w:rsid w:val="008A2CEF"/>
    <w:rsid w:val="008A2D9F"/>
    <w:rsid w:val="008A32D9"/>
    <w:rsid w:val="008A3E35"/>
    <w:rsid w:val="008A421A"/>
    <w:rsid w:val="008A433F"/>
    <w:rsid w:val="008A4A24"/>
    <w:rsid w:val="008A51AB"/>
    <w:rsid w:val="008A5700"/>
    <w:rsid w:val="008A5740"/>
    <w:rsid w:val="008A630A"/>
    <w:rsid w:val="008A7382"/>
    <w:rsid w:val="008A7822"/>
    <w:rsid w:val="008A7F83"/>
    <w:rsid w:val="008B036A"/>
    <w:rsid w:val="008B0C3D"/>
    <w:rsid w:val="008B0EC7"/>
    <w:rsid w:val="008B15AE"/>
    <w:rsid w:val="008B163C"/>
    <w:rsid w:val="008B18D8"/>
    <w:rsid w:val="008B19E6"/>
    <w:rsid w:val="008B1B93"/>
    <w:rsid w:val="008B1C6E"/>
    <w:rsid w:val="008B1DD8"/>
    <w:rsid w:val="008B202B"/>
    <w:rsid w:val="008B282F"/>
    <w:rsid w:val="008B2C5C"/>
    <w:rsid w:val="008B3175"/>
    <w:rsid w:val="008B3237"/>
    <w:rsid w:val="008B3A16"/>
    <w:rsid w:val="008B3AF2"/>
    <w:rsid w:val="008B4046"/>
    <w:rsid w:val="008B4079"/>
    <w:rsid w:val="008B48BE"/>
    <w:rsid w:val="008B4A6C"/>
    <w:rsid w:val="008B4CF2"/>
    <w:rsid w:val="008B5184"/>
    <w:rsid w:val="008B5535"/>
    <w:rsid w:val="008B5600"/>
    <w:rsid w:val="008B5C7C"/>
    <w:rsid w:val="008B5EC6"/>
    <w:rsid w:val="008B5FCE"/>
    <w:rsid w:val="008B60D8"/>
    <w:rsid w:val="008B60ED"/>
    <w:rsid w:val="008B6189"/>
    <w:rsid w:val="008B654E"/>
    <w:rsid w:val="008B6A5B"/>
    <w:rsid w:val="008B745D"/>
    <w:rsid w:val="008B77C7"/>
    <w:rsid w:val="008B77CB"/>
    <w:rsid w:val="008B7962"/>
    <w:rsid w:val="008B7A07"/>
    <w:rsid w:val="008B7C4D"/>
    <w:rsid w:val="008B7F46"/>
    <w:rsid w:val="008C00B8"/>
    <w:rsid w:val="008C0401"/>
    <w:rsid w:val="008C07DB"/>
    <w:rsid w:val="008C0ADF"/>
    <w:rsid w:val="008C0BC7"/>
    <w:rsid w:val="008C10C7"/>
    <w:rsid w:val="008C121E"/>
    <w:rsid w:val="008C1B91"/>
    <w:rsid w:val="008C1EA6"/>
    <w:rsid w:val="008C20E6"/>
    <w:rsid w:val="008C2FB1"/>
    <w:rsid w:val="008C3235"/>
    <w:rsid w:val="008C3750"/>
    <w:rsid w:val="008C382F"/>
    <w:rsid w:val="008C3934"/>
    <w:rsid w:val="008C3D72"/>
    <w:rsid w:val="008C3E20"/>
    <w:rsid w:val="008C4687"/>
    <w:rsid w:val="008C49BA"/>
    <w:rsid w:val="008C4F3C"/>
    <w:rsid w:val="008C4FA4"/>
    <w:rsid w:val="008C5435"/>
    <w:rsid w:val="008C56E3"/>
    <w:rsid w:val="008C67F3"/>
    <w:rsid w:val="008C725B"/>
    <w:rsid w:val="008C7601"/>
    <w:rsid w:val="008C7C81"/>
    <w:rsid w:val="008C7F2A"/>
    <w:rsid w:val="008D03AB"/>
    <w:rsid w:val="008D046A"/>
    <w:rsid w:val="008D0CF0"/>
    <w:rsid w:val="008D184E"/>
    <w:rsid w:val="008D195E"/>
    <w:rsid w:val="008D1C74"/>
    <w:rsid w:val="008D2948"/>
    <w:rsid w:val="008D31BE"/>
    <w:rsid w:val="008D3F98"/>
    <w:rsid w:val="008D4458"/>
    <w:rsid w:val="008D4555"/>
    <w:rsid w:val="008D4A5B"/>
    <w:rsid w:val="008D4A9C"/>
    <w:rsid w:val="008D4EB2"/>
    <w:rsid w:val="008D4F35"/>
    <w:rsid w:val="008D5DD3"/>
    <w:rsid w:val="008D5FDB"/>
    <w:rsid w:val="008D72BB"/>
    <w:rsid w:val="008D7583"/>
    <w:rsid w:val="008D766E"/>
    <w:rsid w:val="008D7B45"/>
    <w:rsid w:val="008E03C2"/>
    <w:rsid w:val="008E09A4"/>
    <w:rsid w:val="008E0ACA"/>
    <w:rsid w:val="008E0EBD"/>
    <w:rsid w:val="008E1D0E"/>
    <w:rsid w:val="008E20EE"/>
    <w:rsid w:val="008E2298"/>
    <w:rsid w:val="008E22CE"/>
    <w:rsid w:val="008E2898"/>
    <w:rsid w:val="008E2F77"/>
    <w:rsid w:val="008E328E"/>
    <w:rsid w:val="008E3833"/>
    <w:rsid w:val="008E3E2D"/>
    <w:rsid w:val="008E4665"/>
    <w:rsid w:val="008E46B8"/>
    <w:rsid w:val="008E476F"/>
    <w:rsid w:val="008E4B0D"/>
    <w:rsid w:val="008E51C5"/>
    <w:rsid w:val="008E5BE4"/>
    <w:rsid w:val="008E5E13"/>
    <w:rsid w:val="008E6AFF"/>
    <w:rsid w:val="008E6B5C"/>
    <w:rsid w:val="008E73A0"/>
    <w:rsid w:val="008E76AE"/>
    <w:rsid w:val="008E78D7"/>
    <w:rsid w:val="008E7DB6"/>
    <w:rsid w:val="008F04DD"/>
    <w:rsid w:val="008F0941"/>
    <w:rsid w:val="008F09F4"/>
    <w:rsid w:val="008F0AB6"/>
    <w:rsid w:val="008F10F2"/>
    <w:rsid w:val="008F1569"/>
    <w:rsid w:val="008F1A89"/>
    <w:rsid w:val="008F2469"/>
    <w:rsid w:val="008F3423"/>
    <w:rsid w:val="008F3610"/>
    <w:rsid w:val="008F370B"/>
    <w:rsid w:val="008F39A8"/>
    <w:rsid w:val="008F4E2E"/>
    <w:rsid w:val="008F5080"/>
    <w:rsid w:val="008F50B6"/>
    <w:rsid w:val="008F5196"/>
    <w:rsid w:val="008F51B6"/>
    <w:rsid w:val="008F589E"/>
    <w:rsid w:val="008F58A6"/>
    <w:rsid w:val="008F5964"/>
    <w:rsid w:val="008F5A7C"/>
    <w:rsid w:val="008F5FA6"/>
    <w:rsid w:val="008F6041"/>
    <w:rsid w:val="008F64B9"/>
    <w:rsid w:val="008F6D25"/>
    <w:rsid w:val="008F75DA"/>
    <w:rsid w:val="008F7EB6"/>
    <w:rsid w:val="00900026"/>
    <w:rsid w:val="00901442"/>
    <w:rsid w:val="009019DA"/>
    <w:rsid w:val="00901A85"/>
    <w:rsid w:val="009026D4"/>
    <w:rsid w:val="0090275E"/>
    <w:rsid w:val="0090280B"/>
    <w:rsid w:val="00902FA2"/>
    <w:rsid w:val="009030FB"/>
    <w:rsid w:val="00904117"/>
    <w:rsid w:val="0090442C"/>
    <w:rsid w:val="009045BC"/>
    <w:rsid w:val="00904787"/>
    <w:rsid w:val="0090576A"/>
    <w:rsid w:val="009057D0"/>
    <w:rsid w:val="00905E2F"/>
    <w:rsid w:val="0090619B"/>
    <w:rsid w:val="009061A7"/>
    <w:rsid w:val="00906766"/>
    <w:rsid w:val="00906F7D"/>
    <w:rsid w:val="009070B3"/>
    <w:rsid w:val="0090729C"/>
    <w:rsid w:val="00907956"/>
    <w:rsid w:val="00907E99"/>
    <w:rsid w:val="009105D0"/>
    <w:rsid w:val="00910860"/>
    <w:rsid w:val="00910BF6"/>
    <w:rsid w:val="00911473"/>
    <w:rsid w:val="0091165C"/>
    <w:rsid w:val="00911FF5"/>
    <w:rsid w:val="009127BC"/>
    <w:rsid w:val="00912975"/>
    <w:rsid w:val="0091328A"/>
    <w:rsid w:val="009139BA"/>
    <w:rsid w:val="00914316"/>
    <w:rsid w:val="00914502"/>
    <w:rsid w:val="00914D15"/>
    <w:rsid w:val="009150C0"/>
    <w:rsid w:val="0091511D"/>
    <w:rsid w:val="0091585F"/>
    <w:rsid w:val="00916E9E"/>
    <w:rsid w:val="00917064"/>
    <w:rsid w:val="009176ED"/>
    <w:rsid w:val="0091798F"/>
    <w:rsid w:val="00917ABD"/>
    <w:rsid w:val="00917EA0"/>
    <w:rsid w:val="0092011C"/>
    <w:rsid w:val="00920283"/>
    <w:rsid w:val="00920345"/>
    <w:rsid w:val="009206AD"/>
    <w:rsid w:val="00920D75"/>
    <w:rsid w:val="00921358"/>
    <w:rsid w:val="009217FD"/>
    <w:rsid w:val="0092182A"/>
    <w:rsid w:val="00921EFC"/>
    <w:rsid w:val="009220E5"/>
    <w:rsid w:val="009227E3"/>
    <w:rsid w:val="009229BA"/>
    <w:rsid w:val="009229C7"/>
    <w:rsid w:val="00922C9F"/>
    <w:rsid w:val="00922CA1"/>
    <w:rsid w:val="009230FB"/>
    <w:rsid w:val="009231AC"/>
    <w:rsid w:val="00923334"/>
    <w:rsid w:val="00923811"/>
    <w:rsid w:val="00923AD6"/>
    <w:rsid w:val="00923D24"/>
    <w:rsid w:val="00924374"/>
    <w:rsid w:val="0092455F"/>
    <w:rsid w:val="009246D7"/>
    <w:rsid w:val="00924A78"/>
    <w:rsid w:val="00924BA6"/>
    <w:rsid w:val="00924EA1"/>
    <w:rsid w:val="0092503E"/>
    <w:rsid w:val="00925691"/>
    <w:rsid w:val="00925E1D"/>
    <w:rsid w:val="0092653B"/>
    <w:rsid w:val="00926F49"/>
    <w:rsid w:val="00927490"/>
    <w:rsid w:val="009279C3"/>
    <w:rsid w:val="00927C0E"/>
    <w:rsid w:val="00930CB1"/>
    <w:rsid w:val="00931624"/>
    <w:rsid w:val="00931772"/>
    <w:rsid w:val="009317E1"/>
    <w:rsid w:val="00932379"/>
    <w:rsid w:val="00932F8A"/>
    <w:rsid w:val="00933D21"/>
    <w:rsid w:val="00933F59"/>
    <w:rsid w:val="009342D0"/>
    <w:rsid w:val="009346F7"/>
    <w:rsid w:val="00934D0E"/>
    <w:rsid w:val="009355DC"/>
    <w:rsid w:val="00935A82"/>
    <w:rsid w:val="00935C62"/>
    <w:rsid w:val="00935F2D"/>
    <w:rsid w:val="009360EC"/>
    <w:rsid w:val="0093639E"/>
    <w:rsid w:val="0093662A"/>
    <w:rsid w:val="009369EA"/>
    <w:rsid w:val="00936B76"/>
    <w:rsid w:val="009375BC"/>
    <w:rsid w:val="009377F2"/>
    <w:rsid w:val="00940196"/>
    <w:rsid w:val="00940318"/>
    <w:rsid w:val="00940745"/>
    <w:rsid w:val="0094105A"/>
    <w:rsid w:val="009411EA"/>
    <w:rsid w:val="00941411"/>
    <w:rsid w:val="00941AB0"/>
    <w:rsid w:val="00941D4A"/>
    <w:rsid w:val="00941FD5"/>
    <w:rsid w:val="009428F7"/>
    <w:rsid w:val="00942FF7"/>
    <w:rsid w:val="00943198"/>
    <w:rsid w:val="00943216"/>
    <w:rsid w:val="0094336D"/>
    <w:rsid w:val="00943A17"/>
    <w:rsid w:val="00943FCD"/>
    <w:rsid w:val="0094420C"/>
    <w:rsid w:val="00945B8B"/>
    <w:rsid w:val="00945CCF"/>
    <w:rsid w:val="00945F5D"/>
    <w:rsid w:val="00945FD2"/>
    <w:rsid w:val="00945FFA"/>
    <w:rsid w:val="00946585"/>
    <w:rsid w:val="009465AC"/>
    <w:rsid w:val="009468DC"/>
    <w:rsid w:val="00946F29"/>
    <w:rsid w:val="009472DC"/>
    <w:rsid w:val="009473FA"/>
    <w:rsid w:val="0094745E"/>
    <w:rsid w:val="00947479"/>
    <w:rsid w:val="00947924"/>
    <w:rsid w:val="00947A24"/>
    <w:rsid w:val="0095079F"/>
    <w:rsid w:val="00950C0F"/>
    <w:rsid w:val="00950EAB"/>
    <w:rsid w:val="00951379"/>
    <w:rsid w:val="009524F5"/>
    <w:rsid w:val="00953631"/>
    <w:rsid w:val="009539A4"/>
    <w:rsid w:val="00953FF1"/>
    <w:rsid w:val="00954058"/>
    <w:rsid w:val="009540E5"/>
    <w:rsid w:val="00954618"/>
    <w:rsid w:val="009549FD"/>
    <w:rsid w:val="00954CE7"/>
    <w:rsid w:val="00954D97"/>
    <w:rsid w:val="00955173"/>
    <w:rsid w:val="00955545"/>
    <w:rsid w:val="0095643F"/>
    <w:rsid w:val="0095657C"/>
    <w:rsid w:val="009566EB"/>
    <w:rsid w:val="009567D9"/>
    <w:rsid w:val="00957091"/>
    <w:rsid w:val="009572AC"/>
    <w:rsid w:val="00957471"/>
    <w:rsid w:val="0095764D"/>
    <w:rsid w:val="00957762"/>
    <w:rsid w:val="0095798D"/>
    <w:rsid w:val="00957AEA"/>
    <w:rsid w:val="00957EC3"/>
    <w:rsid w:val="009602CF"/>
    <w:rsid w:val="00960438"/>
    <w:rsid w:val="009615A7"/>
    <w:rsid w:val="009621CF"/>
    <w:rsid w:val="00962B75"/>
    <w:rsid w:val="00962C74"/>
    <w:rsid w:val="00962C94"/>
    <w:rsid w:val="00962C9D"/>
    <w:rsid w:val="00963287"/>
    <w:rsid w:val="00963456"/>
    <w:rsid w:val="009641B9"/>
    <w:rsid w:val="009643E9"/>
    <w:rsid w:val="00965504"/>
    <w:rsid w:val="00965D68"/>
    <w:rsid w:val="00966149"/>
    <w:rsid w:val="009662B6"/>
    <w:rsid w:val="00966743"/>
    <w:rsid w:val="00966983"/>
    <w:rsid w:val="00967247"/>
    <w:rsid w:val="009674E1"/>
    <w:rsid w:val="00967BC5"/>
    <w:rsid w:val="00970826"/>
    <w:rsid w:val="00970FCC"/>
    <w:rsid w:val="009711D3"/>
    <w:rsid w:val="009711EE"/>
    <w:rsid w:val="00971D65"/>
    <w:rsid w:val="00972294"/>
    <w:rsid w:val="009722CC"/>
    <w:rsid w:val="0097246E"/>
    <w:rsid w:val="009726E5"/>
    <w:rsid w:val="0097282F"/>
    <w:rsid w:val="00973120"/>
    <w:rsid w:val="00973494"/>
    <w:rsid w:val="00974541"/>
    <w:rsid w:val="009747E0"/>
    <w:rsid w:val="0097492B"/>
    <w:rsid w:val="00974A4B"/>
    <w:rsid w:val="00974A5F"/>
    <w:rsid w:val="00974BAC"/>
    <w:rsid w:val="00974EBF"/>
    <w:rsid w:val="00974FBE"/>
    <w:rsid w:val="00975AD7"/>
    <w:rsid w:val="00975BA2"/>
    <w:rsid w:val="00975BE7"/>
    <w:rsid w:val="00975E90"/>
    <w:rsid w:val="00976BC6"/>
    <w:rsid w:val="00976E72"/>
    <w:rsid w:val="009770CB"/>
    <w:rsid w:val="009779DF"/>
    <w:rsid w:val="00977D5D"/>
    <w:rsid w:val="00980AC6"/>
    <w:rsid w:val="009810BF"/>
    <w:rsid w:val="009818B3"/>
    <w:rsid w:val="00981A2E"/>
    <w:rsid w:val="00981A50"/>
    <w:rsid w:val="00982DE2"/>
    <w:rsid w:val="00983530"/>
    <w:rsid w:val="00983935"/>
    <w:rsid w:val="009846DD"/>
    <w:rsid w:val="009848C2"/>
    <w:rsid w:val="00984D73"/>
    <w:rsid w:val="00985614"/>
    <w:rsid w:val="00985974"/>
    <w:rsid w:val="00985B97"/>
    <w:rsid w:val="00985FB4"/>
    <w:rsid w:val="009860C0"/>
    <w:rsid w:val="009861FA"/>
    <w:rsid w:val="0098679F"/>
    <w:rsid w:val="0098698F"/>
    <w:rsid w:val="00986F5A"/>
    <w:rsid w:val="00987158"/>
    <w:rsid w:val="009876C2"/>
    <w:rsid w:val="009879C2"/>
    <w:rsid w:val="00987C8F"/>
    <w:rsid w:val="00987E79"/>
    <w:rsid w:val="00987FA9"/>
    <w:rsid w:val="0099003A"/>
    <w:rsid w:val="0099052A"/>
    <w:rsid w:val="0099058C"/>
    <w:rsid w:val="00990C6B"/>
    <w:rsid w:val="00990EC8"/>
    <w:rsid w:val="00991127"/>
    <w:rsid w:val="00991B78"/>
    <w:rsid w:val="00992036"/>
    <w:rsid w:val="009937DF"/>
    <w:rsid w:val="009945B7"/>
    <w:rsid w:val="00994D6F"/>
    <w:rsid w:val="00994EF3"/>
    <w:rsid w:val="00994F13"/>
    <w:rsid w:val="009953EA"/>
    <w:rsid w:val="00995AA7"/>
    <w:rsid w:val="009967D4"/>
    <w:rsid w:val="00996CF2"/>
    <w:rsid w:val="00997009"/>
    <w:rsid w:val="0099752C"/>
    <w:rsid w:val="0099775B"/>
    <w:rsid w:val="009A020D"/>
    <w:rsid w:val="009A0271"/>
    <w:rsid w:val="009A07A4"/>
    <w:rsid w:val="009A1310"/>
    <w:rsid w:val="009A1D32"/>
    <w:rsid w:val="009A1F0C"/>
    <w:rsid w:val="009A2003"/>
    <w:rsid w:val="009A23A6"/>
    <w:rsid w:val="009A2532"/>
    <w:rsid w:val="009A2A54"/>
    <w:rsid w:val="009A2E98"/>
    <w:rsid w:val="009A3538"/>
    <w:rsid w:val="009A36D5"/>
    <w:rsid w:val="009A4C52"/>
    <w:rsid w:val="009A4E86"/>
    <w:rsid w:val="009A55D0"/>
    <w:rsid w:val="009A5F7F"/>
    <w:rsid w:val="009A60D8"/>
    <w:rsid w:val="009A6BBA"/>
    <w:rsid w:val="009A6C1F"/>
    <w:rsid w:val="009A6FBA"/>
    <w:rsid w:val="009A796F"/>
    <w:rsid w:val="009A7BF4"/>
    <w:rsid w:val="009A7C74"/>
    <w:rsid w:val="009A7DE8"/>
    <w:rsid w:val="009B0B40"/>
    <w:rsid w:val="009B0FD6"/>
    <w:rsid w:val="009B1594"/>
    <w:rsid w:val="009B1EF7"/>
    <w:rsid w:val="009B1F38"/>
    <w:rsid w:val="009B333B"/>
    <w:rsid w:val="009B34A3"/>
    <w:rsid w:val="009B418B"/>
    <w:rsid w:val="009B4248"/>
    <w:rsid w:val="009B42A9"/>
    <w:rsid w:val="009B4338"/>
    <w:rsid w:val="009B49D0"/>
    <w:rsid w:val="009B5CAE"/>
    <w:rsid w:val="009B63BD"/>
    <w:rsid w:val="009B6783"/>
    <w:rsid w:val="009B6A00"/>
    <w:rsid w:val="009B6A8E"/>
    <w:rsid w:val="009B6C2A"/>
    <w:rsid w:val="009B7308"/>
    <w:rsid w:val="009B7498"/>
    <w:rsid w:val="009B7807"/>
    <w:rsid w:val="009B78A6"/>
    <w:rsid w:val="009B78AD"/>
    <w:rsid w:val="009B7F2D"/>
    <w:rsid w:val="009C0822"/>
    <w:rsid w:val="009C1245"/>
    <w:rsid w:val="009C25EF"/>
    <w:rsid w:val="009C2639"/>
    <w:rsid w:val="009C297C"/>
    <w:rsid w:val="009C2B96"/>
    <w:rsid w:val="009C2C07"/>
    <w:rsid w:val="009C2CEE"/>
    <w:rsid w:val="009C311E"/>
    <w:rsid w:val="009C31BC"/>
    <w:rsid w:val="009C31E8"/>
    <w:rsid w:val="009C3497"/>
    <w:rsid w:val="009C34C4"/>
    <w:rsid w:val="009C38B5"/>
    <w:rsid w:val="009C3902"/>
    <w:rsid w:val="009C394F"/>
    <w:rsid w:val="009C3B5E"/>
    <w:rsid w:val="009C3D80"/>
    <w:rsid w:val="009C3E01"/>
    <w:rsid w:val="009C3F04"/>
    <w:rsid w:val="009C4437"/>
    <w:rsid w:val="009C45F4"/>
    <w:rsid w:val="009C4894"/>
    <w:rsid w:val="009C56B0"/>
    <w:rsid w:val="009C5C77"/>
    <w:rsid w:val="009C5E97"/>
    <w:rsid w:val="009C6968"/>
    <w:rsid w:val="009C6C26"/>
    <w:rsid w:val="009C71A0"/>
    <w:rsid w:val="009C7C24"/>
    <w:rsid w:val="009C7FEE"/>
    <w:rsid w:val="009D0782"/>
    <w:rsid w:val="009D1305"/>
    <w:rsid w:val="009D17E9"/>
    <w:rsid w:val="009D1F18"/>
    <w:rsid w:val="009D1F45"/>
    <w:rsid w:val="009D21BD"/>
    <w:rsid w:val="009D243C"/>
    <w:rsid w:val="009D2B47"/>
    <w:rsid w:val="009D2E6C"/>
    <w:rsid w:val="009D3C44"/>
    <w:rsid w:val="009D3DD7"/>
    <w:rsid w:val="009D47CF"/>
    <w:rsid w:val="009D4C1D"/>
    <w:rsid w:val="009D4D5E"/>
    <w:rsid w:val="009D4DAA"/>
    <w:rsid w:val="009D4EF1"/>
    <w:rsid w:val="009D53DA"/>
    <w:rsid w:val="009D5677"/>
    <w:rsid w:val="009D5C99"/>
    <w:rsid w:val="009D6A9C"/>
    <w:rsid w:val="009D6B1F"/>
    <w:rsid w:val="009D6C60"/>
    <w:rsid w:val="009D73B8"/>
    <w:rsid w:val="009D77B9"/>
    <w:rsid w:val="009D7BED"/>
    <w:rsid w:val="009D7C33"/>
    <w:rsid w:val="009E0496"/>
    <w:rsid w:val="009E055F"/>
    <w:rsid w:val="009E0D91"/>
    <w:rsid w:val="009E0EFF"/>
    <w:rsid w:val="009E0FBB"/>
    <w:rsid w:val="009E108A"/>
    <w:rsid w:val="009E132A"/>
    <w:rsid w:val="009E170F"/>
    <w:rsid w:val="009E1A2F"/>
    <w:rsid w:val="009E2099"/>
    <w:rsid w:val="009E2576"/>
    <w:rsid w:val="009E25A2"/>
    <w:rsid w:val="009E267A"/>
    <w:rsid w:val="009E2BC9"/>
    <w:rsid w:val="009E2E4E"/>
    <w:rsid w:val="009E4042"/>
    <w:rsid w:val="009E41E9"/>
    <w:rsid w:val="009E4239"/>
    <w:rsid w:val="009E4CA5"/>
    <w:rsid w:val="009E5012"/>
    <w:rsid w:val="009E5117"/>
    <w:rsid w:val="009E539E"/>
    <w:rsid w:val="009E5850"/>
    <w:rsid w:val="009E6424"/>
    <w:rsid w:val="009E65B6"/>
    <w:rsid w:val="009E6814"/>
    <w:rsid w:val="009E6A27"/>
    <w:rsid w:val="009E7340"/>
    <w:rsid w:val="009E7341"/>
    <w:rsid w:val="009E7630"/>
    <w:rsid w:val="009E7F35"/>
    <w:rsid w:val="009E7FCF"/>
    <w:rsid w:val="009F1578"/>
    <w:rsid w:val="009F1C3C"/>
    <w:rsid w:val="009F2103"/>
    <w:rsid w:val="009F222C"/>
    <w:rsid w:val="009F256A"/>
    <w:rsid w:val="009F278F"/>
    <w:rsid w:val="009F3F58"/>
    <w:rsid w:val="009F4650"/>
    <w:rsid w:val="009F4924"/>
    <w:rsid w:val="009F4994"/>
    <w:rsid w:val="009F4B35"/>
    <w:rsid w:val="009F4B96"/>
    <w:rsid w:val="009F4CEE"/>
    <w:rsid w:val="009F585C"/>
    <w:rsid w:val="009F5FF3"/>
    <w:rsid w:val="009F6355"/>
    <w:rsid w:val="009F63FB"/>
    <w:rsid w:val="009F6456"/>
    <w:rsid w:val="009F6B33"/>
    <w:rsid w:val="009F6BC6"/>
    <w:rsid w:val="009F78BC"/>
    <w:rsid w:val="009F7D3D"/>
    <w:rsid w:val="00A00342"/>
    <w:rsid w:val="00A00694"/>
    <w:rsid w:val="00A009C0"/>
    <w:rsid w:val="00A010B9"/>
    <w:rsid w:val="00A010C6"/>
    <w:rsid w:val="00A010C9"/>
    <w:rsid w:val="00A01853"/>
    <w:rsid w:val="00A01936"/>
    <w:rsid w:val="00A021D3"/>
    <w:rsid w:val="00A021D7"/>
    <w:rsid w:val="00A0237A"/>
    <w:rsid w:val="00A024C6"/>
    <w:rsid w:val="00A0251C"/>
    <w:rsid w:val="00A028C0"/>
    <w:rsid w:val="00A0326A"/>
    <w:rsid w:val="00A033C4"/>
    <w:rsid w:val="00A03A17"/>
    <w:rsid w:val="00A03A20"/>
    <w:rsid w:val="00A03AAE"/>
    <w:rsid w:val="00A03C73"/>
    <w:rsid w:val="00A03FD7"/>
    <w:rsid w:val="00A041AB"/>
    <w:rsid w:val="00A04245"/>
    <w:rsid w:val="00A04484"/>
    <w:rsid w:val="00A04492"/>
    <w:rsid w:val="00A046D7"/>
    <w:rsid w:val="00A0507C"/>
    <w:rsid w:val="00A057C0"/>
    <w:rsid w:val="00A0598A"/>
    <w:rsid w:val="00A05D91"/>
    <w:rsid w:val="00A064E4"/>
    <w:rsid w:val="00A066B4"/>
    <w:rsid w:val="00A06964"/>
    <w:rsid w:val="00A06B53"/>
    <w:rsid w:val="00A06BC0"/>
    <w:rsid w:val="00A06D91"/>
    <w:rsid w:val="00A06EBA"/>
    <w:rsid w:val="00A07329"/>
    <w:rsid w:val="00A074EA"/>
    <w:rsid w:val="00A0756D"/>
    <w:rsid w:val="00A0771E"/>
    <w:rsid w:val="00A106DD"/>
    <w:rsid w:val="00A106EB"/>
    <w:rsid w:val="00A107A4"/>
    <w:rsid w:val="00A107BC"/>
    <w:rsid w:val="00A10EF8"/>
    <w:rsid w:val="00A112B0"/>
    <w:rsid w:val="00A11C02"/>
    <w:rsid w:val="00A11E2C"/>
    <w:rsid w:val="00A11EB7"/>
    <w:rsid w:val="00A1212D"/>
    <w:rsid w:val="00A12B83"/>
    <w:rsid w:val="00A13451"/>
    <w:rsid w:val="00A1353B"/>
    <w:rsid w:val="00A135B0"/>
    <w:rsid w:val="00A139A5"/>
    <w:rsid w:val="00A139E2"/>
    <w:rsid w:val="00A146BB"/>
    <w:rsid w:val="00A1475A"/>
    <w:rsid w:val="00A15078"/>
    <w:rsid w:val="00A1552A"/>
    <w:rsid w:val="00A15807"/>
    <w:rsid w:val="00A15C15"/>
    <w:rsid w:val="00A1634D"/>
    <w:rsid w:val="00A16608"/>
    <w:rsid w:val="00A16E82"/>
    <w:rsid w:val="00A17C7D"/>
    <w:rsid w:val="00A20D03"/>
    <w:rsid w:val="00A20F18"/>
    <w:rsid w:val="00A20FF9"/>
    <w:rsid w:val="00A215FA"/>
    <w:rsid w:val="00A21735"/>
    <w:rsid w:val="00A21830"/>
    <w:rsid w:val="00A2189E"/>
    <w:rsid w:val="00A21FA5"/>
    <w:rsid w:val="00A2207A"/>
    <w:rsid w:val="00A220B6"/>
    <w:rsid w:val="00A22387"/>
    <w:rsid w:val="00A22604"/>
    <w:rsid w:val="00A22A54"/>
    <w:rsid w:val="00A22BBD"/>
    <w:rsid w:val="00A23999"/>
    <w:rsid w:val="00A240CC"/>
    <w:rsid w:val="00A24F59"/>
    <w:rsid w:val="00A25B87"/>
    <w:rsid w:val="00A26A9C"/>
    <w:rsid w:val="00A273D6"/>
    <w:rsid w:val="00A278A3"/>
    <w:rsid w:val="00A27E49"/>
    <w:rsid w:val="00A30C6F"/>
    <w:rsid w:val="00A30DC8"/>
    <w:rsid w:val="00A31077"/>
    <w:rsid w:val="00A31700"/>
    <w:rsid w:val="00A31F69"/>
    <w:rsid w:val="00A3235A"/>
    <w:rsid w:val="00A32A8C"/>
    <w:rsid w:val="00A32BB1"/>
    <w:rsid w:val="00A32C81"/>
    <w:rsid w:val="00A32E2E"/>
    <w:rsid w:val="00A330AB"/>
    <w:rsid w:val="00A335F9"/>
    <w:rsid w:val="00A33748"/>
    <w:rsid w:val="00A33B8F"/>
    <w:rsid w:val="00A33EF9"/>
    <w:rsid w:val="00A3437C"/>
    <w:rsid w:val="00A34E0C"/>
    <w:rsid w:val="00A355BF"/>
    <w:rsid w:val="00A35898"/>
    <w:rsid w:val="00A37196"/>
    <w:rsid w:val="00A374C5"/>
    <w:rsid w:val="00A4005E"/>
    <w:rsid w:val="00A40AB2"/>
    <w:rsid w:val="00A41190"/>
    <w:rsid w:val="00A41415"/>
    <w:rsid w:val="00A4150E"/>
    <w:rsid w:val="00A4162B"/>
    <w:rsid w:val="00A41AD2"/>
    <w:rsid w:val="00A41AED"/>
    <w:rsid w:val="00A4261B"/>
    <w:rsid w:val="00A4290D"/>
    <w:rsid w:val="00A429B4"/>
    <w:rsid w:val="00A42A4C"/>
    <w:rsid w:val="00A434D4"/>
    <w:rsid w:val="00A4393B"/>
    <w:rsid w:val="00A43B42"/>
    <w:rsid w:val="00A43D0E"/>
    <w:rsid w:val="00A43D4F"/>
    <w:rsid w:val="00A4417F"/>
    <w:rsid w:val="00A452BC"/>
    <w:rsid w:val="00A45437"/>
    <w:rsid w:val="00A45796"/>
    <w:rsid w:val="00A45912"/>
    <w:rsid w:val="00A45B7F"/>
    <w:rsid w:val="00A45E3A"/>
    <w:rsid w:val="00A462C0"/>
    <w:rsid w:val="00A469CF"/>
    <w:rsid w:val="00A46DCC"/>
    <w:rsid w:val="00A46F5B"/>
    <w:rsid w:val="00A47AA7"/>
    <w:rsid w:val="00A47FEB"/>
    <w:rsid w:val="00A50001"/>
    <w:rsid w:val="00A50014"/>
    <w:rsid w:val="00A50028"/>
    <w:rsid w:val="00A502CA"/>
    <w:rsid w:val="00A505DE"/>
    <w:rsid w:val="00A51D95"/>
    <w:rsid w:val="00A51E1A"/>
    <w:rsid w:val="00A52587"/>
    <w:rsid w:val="00A52A36"/>
    <w:rsid w:val="00A530D2"/>
    <w:rsid w:val="00A53409"/>
    <w:rsid w:val="00A53415"/>
    <w:rsid w:val="00A53728"/>
    <w:rsid w:val="00A53A1B"/>
    <w:rsid w:val="00A53C6E"/>
    <w:rsid w:val="00A549E7"/>
    <w:rsid w:val="00A54C3C"/>
    <w:rsid w:val="00A54DF5"/>
    <w:rsid w:val="00A5508B"/>
    <w:rsid w:val="00A5523E"/>
    <w:rsid w:val="00A55358"/>
    <w:rsid w:val="00A55ABD"/>
    <w:rsid w:val="00A55F8F"/>
    <w:rsid w:val="00A56657"/>
    <w:rsid w:val="00A56834"/>
    <w:rsid w:val="00A56A62"/>
    <w:rsid w:val="00A56B11"/>
    <w:rsid w:val="00A56F02"/>
    <w:rsid w:val="00A57281"/>
    <w:rsid w:val="00A57B24"/>
    <w:rsid w:val="00A607CB"/>
    <w:rsid w:val="00A60CAB"/>
    <w:rsid w:val="00A618AA"/>
    <w:rsid w:val="00A61A96"/>
    <w:rsid w:val="00A62053"/>
    <w:rsid w:val="00A623F7"/>
    <w:rsid w:val="00A62418"/>
    <w:rsid w:val="00A624CB"/>
    <w:rsid w:val="00A62595"/>
    <w:rsid w:val="00A625D5"/>
    <w:rsid w:val="00A62A7E"/>
    <w:rsid w:val="00A63714"/>
    <w:rsid w:val="00A63971"/>
    <w:rsid w:val="00A63ABF"/>
    <w:rsid w:val="00A63DD8"/>
    <w:rsid w:val="00A649F8"/>
    <w:rsid w:val="00A65498"/>
    <w:rsid w:val="00A65908"/>
    <w:rsid w:val="00A660F2"/>
    <w:rsid w:val="00A669C0"/>
    <w:rsid w:val="00A67087"/>
    <w:rsid w:val="00A6744C"/>
    <w:rsid w:val="00A677CC"/>
    <w:rsid w:val="00A67F53"/>
    <w:rsid w:val="00A70499"/>
    <w:rsid w:val="00A704D2"/>
    <w:rsid w:val="00A70C36"/>
    <w:rsid w:val="00A70CDF"/>
    <w:rsid w:val="00A71E05"/>
    <w:rsid w:val="00A722F8"/>
    <w:rsid w:val="00A726DD"/>
    <w:rsid w:val="00A72B38"/>
    <w:rsid w:val="00A73439"/>
    <w:rsid w:val="00A7344E"/>
    <w:rsid w:val="00A7377F"/>
    <w:rsid w:val="00A73AD0"/>
    <w:rsid w:val="00A748A0"/>
    <w:rsid w:val="00A74AD9"/>
    <w:rsid w:val="00A755C1"/>
    <w:rsid w:val="00A757B1"/>
    <w:rsid w:val="00A75AD4"/>
    <w:rsid w:val="00A75B35"/>
    <w:rsid w:val="00A75B98"/>
    <w:rsid w:val="00A762DB"/>
    <w:rsid w:val="00A76674"/>
    <w:rsid w:val="00A767F5"/>
    <w:rsid w:val="00A76927"/>
    <w:rsid w:val="00A76E0B"/>
    <w:rsid w:val="00A76E37"/>
    <w:rsid w:val="00A76F16"/>
    <w:rsid w:val="00A77339"/>
    <w:rsid w:val="00A77CEC"/>
    <w:rsid w:val="00A802F1"/>
    <w:rsid w:val="00A806B7"/>
    <w:rsid w:val="00A80B85"/>
    <w:rsid w:val="00A81138"/>
    <w:rsid w:val="00A811D9"/>
    <w:rsid w:val="00A81641"/>
    <w:rsid w:val="00A817FA"/>
    <w:rsid w:val="00A81B57"/>
    <w:rsid w:val="00A81C65"/>
    <w:rsid w:val="00A81F0A"/>
    <w:rsid w:val="00A8256B"/>
    <w:rsid w:val="00A82AA9"/>
    <w:rsid w:val="00A82C60"/>
    <w:rsid w:val="00A8347A"/>
    <w:rsid w:val="00A83A5C"/>
    <w:rsid w:val="00A84742"/>
    <w:rsid w:val="00A8475D"/>
    <w:rsid w:val="00A84852"/>
    <w:rsid w:val="00A84DA7"/>
    <w:rsid w:val="00A84DF0"/>
    <w:rsid w:val="00A85255"/>
    <w:rsid w:val="00A8547B"/>
    <w:rsid w:val="00A8571E"/>
    <w:rsid w:val="00A85EC6"/>
    <w:rsid w:val="00A86256"/>
    <w:rsid w:val="00A865B5"/>
    <w:rsid w:val="00A868C4"/>
    <w:rsid w:val="00A86B57"/>
    <w:rsid w:val="00A87261"/>
    <w:rsid w:val="00A8727C"/>
    <w:rsid w:val="00A87695"/>
    <w:rsid w:val="00A877E1"/>
    <w:rsid w:val="00A87D4E"/>
    <w:rsid w:val="00A9008E"/>
    <w:rsid w:val="00A903A5"/>
    <w:rsid w:val="00A90DA4"/>
    <w:rsid w:val="00A9169E"/>
    <w:rsid w:val="00A9199B"/>
    <w:rsid w:val="00A919A7"/>
    <w:rsid w:val="00A91CC1"/>
    <w:rsid w:val="00A91FF1"/>
    <w:rsid w:val="00A922CD"/>
    <w:rsid w:val="00A925A3"/>
    <w:rsid w:val="00A92FAE"/>
    <w:rsid w:val="00A93576"/>
    <w:rsid w:val="00A93A69"/>
    <w:rsid w:val="00A94B5C"/>
    <w:rsid w:val="00A954A5"/>
    <w:rsid w:val="00A958DB"/>
    <w:rsid w:val="00A95CE6"/>
    <w:rsid w:val="00A95FD1"/>
    <w:rsid w:val="00A96608"/>
    <w:rsid w:val="00A966BE"/>
    <w:rsid w:val="00A968CC"/>
    <w:rsid w:val="00A97537"/>
    <w:rsid w:val="00A97985"/>
    <w:rsid w:val="00AA0075"/>
    <w:rsid w:val="00AA062E"/>
    <w:rsid w:val="00AA06E8"/>
    <w:rsid w:val="00AA078D"/>
    <w:rsid w:val="00AA0AAF"/>
    <w:rsid w:val="00AA0AE3"/>
    <w:rsid w:val="00AA0D33"/>
    <w:rsid w:val="00AA1275"/>
    <w:rsid w:val="00AA16F5"/>
    <w:rsid w:val="00AA20B7"/>
    <w:rsid w:val="00AA2BF4"/>
    <w:rsid w:val="00AA2E9E"/>
    <w:rsid w:val="00AA4AAF"/>
    <w:rsid w:val="00AA4E0A"/>
    <w:rsid w:val="00AA503D"/>
    <w:rsid w:val="00AA5166"/>
    <w:rsid w:val="00AA558B"/>
    <w:rsid w:val="00AA55AA"/>
    <w:rsid w:val="00AA585D"/>
    <w:rsid w:val="00AA5A48"/>
    <w:rsid w:val="00AA5E46"/>
    <w:rsid w:val="00AA6527"/>
    <w:rsid w:val="00AA667A"/>
    <w:rsid w:val="00AA66C0"/>
    <w:rsid w:val="00AA71C0"/>
    <w:rsid w:val="00AA75F7"/>
    <w:rsid w:val="00AA7769"/>
    <w:rsid w:val="00AB0550"/>
    <w:rsid w:val="00AB0CBB"/>
    <w:rsid w:val="00AB109A"/>
    <w:rsid w:val="00AB165E"/>
    <w:rsid w:val="00AB1A09"/>
    <w:rsid w:val="00AB1DA7"/>
    <w:rsid w:val="00AB1F5E"/>
    <w:rsid w:val="00AB37BA"/>
    <w:rsid w:val="00AB3860"/>
    <w:rsid w:val="00AB448F"/>
    <w:rsid w:val="00AB49AB"/>
    <w:rsid w:val="00AB4EAD"/>
    <w:rsid w:val="00AB4F03"/>
    <w:rsid w:val="00AB5101"/>
    <w:rsid w:val="00AB568E"/>
    <w:rsid w:val="00AB57C7"/>
    <w:rsid w:val="00AB58F7"/>
    <w:rsid w:val="00AB5B92"/>
    <w:rsid w:val="00AB5C86"/>
    <w:rsid w:val="00AB5CE8"/>
    <w:rsid w:val="00AB5EBE"/>
    <w:rsid w:val="00AB6F8E"/>
    <w:rsid w:val="00AB7382"/>
    <w:rsid w:val="00AB750E"/>
    <w:rsid w:val="00AB752F"/>
    <w:rsid w:val="00AB7DD0"/>
    <w:rsid w:val="00AB7EEC"/>
    <w:rsid w:val="00AC0268"/>
    <w:rsid w:val="00AC066F"/>
    <w:rsid w:val="00AC07D5"/>
    <w:rsid w:val="00AC0DCC"/>
    <w:rsid w:val="00AC190A"/>
    <w:rsid w:val="00AC1C27"/>
    <w:rsid w:val="00AC1C88"/>
    <w:rsid w:val="00AC21EB"/>
    <w:rsid w:val="00AC26AD"/>
    <w:rsid w:val="00AC2731"/>
    <w:rsid w:val="00AC2C2F"/>
    <w:rsid w:val="00AC2E01"/>
    <w:rsid w:val="00AC313C"/>
    <w:rsid w:val="00AC3BF1"/>
    <w:rsid w:val="00AC42A5"/>
    <w:rsid w:val="00AC42C9"/>
    <w:rsid w:val="00AC44F4"/>
    <w:rsid w:val="00AC4E28"/>
    <w:rsid w:val="00AC534A"/>
    <w:rsid w:val="00AC5B2D"/>
    <w:rsid w:val="00AC5EEA"/>
    <w:rsid w:val="00AC6677"/>
    <w:rsid w:val="00AC6FCD"/>
    <w:rsid w:val="00AC77BD"/>
    <w:rsid w:val="00AC77C5"/>
    <w:rsid w:val="00AC77F4"/>
    <w:rsid w:val="00AC78F3"/>
    <w:rsid w:val="00AD0447"/>
    <w:rsid w:val="00AD1246"/>
    <w:rsid w:val="00AD1366"/>
    <w:rsid w:val="00AD19DA"/>
    <w:rsid w:val="00AD1BDB"/>
    <w:rsid w:val="00AD1C96"/>
    <w:rsid w:val="00AD1F87"/>
    <w:rsid w:val="00AD2CB9"/>
    <w:rsid w:val="00AD316E"/>
    <w:rsid w:val="00AD3819"/>
    <w:rsid w:val="00AD42B2"/>
    <w:rsid w:val="00AD45F9"/>
    <w:rsid w:val="00AD46E7"/>
    <w:rsid w:val="00AD4B5E"/>
    <w:rsid w:val="00AD4C56"/>
    <w:rsid w:val="00AD4CB4"/>
    <w:rsid w:val="00AD51E0"/>
    <w:rsid w:val="00AD570C"/>
    <w:rsid w:val="00AD6467"/>
    <w:rsid w:val="00AD66FE"/>
    <w:rsid w:val="00AD6E4A"/>
    <w:rsid w:val="00AD72B7"/>
    <w:rsid w:val="00AD75A4"/>
    <w:rsid w:val="00AD793C"/>
    <w:rsid w:val="00AD7F9C"/>
    <w:rsid w:val="00AD7FAD"/>
    <w:rsid w:val="00AE0B43"/>
    <w:rsid w:val="00AE0C0F"/>
    <w:rsid w:val="00AE0D5A"/>
    <w:rsid w:val="00AE1047"/>
    <w:rsid w:val="00AE15CA"/>
    <w:rsid w:val="00AE15F7"/>
    <w:rsid w:val="00AE1C07"/>
    <w:rsid w:val="00AE1CCF"/>
    <w:rsid w:val="00AE1E68"/>
    <w:rsid w:val="00AE20E6"/>
    <w:rsid w:val="00AE22AE"/>
    <w:rsid w:val="00AE23D2"/>
    <w:rsid w:val="00AE3526"/>
    <w:rsid w:val="00AE39E9"/>
    <w:rsid w:val="00AE3F0F"/>
    <w:rsid w:val="00AE4250"/>
    <w:rsid w:val="00AE42CE"/>
    <w:rsid w:val="00AE4312"/>
    <w:rsid w:val="00AE47FE"/>
    <w:rsid w:val="00AE4D9E"/>
    <w:rsid w:val="00AE5260"/>
    <w:rsid w:val="00AE55BD"/>
    <w:rsid w:val="00AE5DD6"/>
    <w:rsid w:val="00AE696A"/>
    <w:rsid w:val="00AE6F24"/>
    <w:rsid w:val="00AE7545"/>
    <w:rsid w:val="00AE7FFC"/>
    <w:rsid w:val="00AF00FA"/>
    <w:rsid w:val="00AF095E"/>
    <w:rsid w:val="00AF0F82"/>
    <w:rsid w:val="00AF1524"/>
    <w:rsid w:val="00AF231D"/>
    <w:rsid w:val="00AF2561"/>
    <w:rsid w:val="00AF2613"/>
    <w:rsid w:val="00AF2BCC"/>
    <w:rsid w:val="00AF2C9E"/>
    <w:rsid w:val="00AF43E7"/>
    <w:rsid w:val="00AF441D"/>
    <w:rsid w:val="00AF44AF"/>
    <w:rsid w:val="00AF4C20"/>
    <w:rsid w:val="00AF50AD"/>
    <w:rsid w:val="00AF5255"/>
    <w:rsid w:val="00AF578E"/>
    <w:rsid w:val="00AF5D78"/>
    <w:rsid w:val="00AF6513"/>
    <w:rsid w:val="00AF6EEC"/>
    <w:rsid w:val="00AF7249"/>
    <w:rsid w:val="00AF72CD"/>
    <w:rsid w:val="00AF78C2"/>
    <w:rsid w:val="00B002F9"/>
    <w:rsid w:val="00B00D1C"/>
    <w:rsid w:val="00B011B6"/>
    <w:rsid w:val="00B0183F"/>
    <w:rsid w:val="00B01A69"/>
    <w:rsid w:val="00B01AA4"/>
    <w:rsid w:val="00B01DA1"/>
    <w:rsid w:val="00B026F8"/>
    <w:rsid w:val="00B03C1C"/>
    <w:rsid w:val="00B041F4"/>
    <w:rsid w:val="00B04F6C"/>
    <w:rsid w:val="00B060AA"/>
    <w:rsid w:val="00B06816"/>
    <w:rsid w:val="00B06856"/>
    <w:rsid w:val="00B06869"/>
    <w:rsid w:val="00B06AF2"/>
    <w:rsid w:val="00B06FB1"/>
    <w:rsid w:val="00B07138"/>
    <w:rsid w:val="00B076BD"/>
    <w:rsid w:val="00B10235"/>
    <w:rsid w:val="00B107D8"/>
    <w:rsid w:val="00B11048"/>
    <w:rsid w:val="00B1156B"/>
    <w:rsid w:val="00B11CB4"/>
    <w:rsid w:val="00B121A8"/>
    <w:rsid w:val="00B121B1"/>
    <w:rsid w:val="00B1229D"/>
    <w:rsid w:val="00B12397"/>
    <w:rsid w:val="00B12757"/>
    <w:rsid w:val="00B128E0"/>
    <w:rsid w:val="00B12C8C"/>
    <w:rsid w:val="00B13103"/>
    <w:rsid w:val="00B13823"/>
    <w:rsid w:val="00B13DB4"/>
    <w:rsid w:val="00B14414"/>
    <w:rsid w:val="00B14607"/>
    <w:rsid w:val="00B14BE2"/>
    <w:rsid w:val="00B14E8D"/>
    <w:rsid w:val="00B15104"/>
    <w:rsid w:val="00B15624"/>
    <w:rsid w:val="00B156CD"/>
    <w:rsid w:val="00B1637B"/>
    <w:rsid w:val="00B165E5"/>
    <w:rsid w:val="00B169CC"/>
    <w:rsid w:val="00B16F32"/>
    <w:rsid w:val="00B17C13"/>
    <w:rsid w:val="00B17CC7"/>
    <w:rsid w:val="00B203AF"/>
    <w:rsid w:val="00B2067A"/>
    <w:rsid w:val="00B210ED"/>
    <w:rsid w:val="00B21293"/>
    <w:rsid w:val="00B214FF"/>
    <w:rsid w:val="00B21704"/>
    <w:rsid w:val="00B21A00"/>
    <w:rsid w:val="00B21A7B"/>
    <w:rsid w:val="00B2205E"/>
    <w:rsid w:val="00B2221B"/>
    <w:rsid w:val="00B22B86"/>
    <w:rsid w:val="00B22D41"/>
    <w:rsid w:val="00B22DF3"/>
    <w:rsid w:val="00B23AB9"/>
    <w:rsid w:val="00B24086"/>
    <w:rsid w:val="00B242D8"/>
    <w:rsid w:val="00B24410"/>
    <w:rsid w:val="00B244C1"/>
    <w:rsid w:val="00B24946"/>
    <w:rsid w:val="00B24AD1"/>
    <w:rsid w:val="00B2508D"/>
    <w:rsid w:val="00B25361"/>
    <w:rsid w:val="00B253A9"/>
    <w:rsid w:val="00B253E7"/>
    <w:rsid w:val="00B2552D"/>
    <w:rsid w:val="00B25B67"/>
    <w:rsid w:val="00B25C5C"/>
    <w:rsid w:val="00B25D40"/>
    <w:rsid w:val="00B26447"/>
    <w:rsid w:val="00B26534"/>
    <w:rsid w:val="00B26539"/>
    <w:rsid w:val="00B2680B"/>
    <w:rsid w:val="00B2723F"/>
    <w:rsid w:val="00B2786B"/>
    <w:rsid w:val="00B27A45"/>
    <w:rsid w:val="00B27F12"/>
    <w:rsid w:val="00B27F72"/>
    <w:rsid w:val="00B312A3"/>
    <w:rsid w:val="00B313D3"/>
    <w:rsid w:val="00B31571"/>
    <w:rsid w:val="00B31AEA"/>
    <w:rsid w:val="00B31CC0"/>
    <w:rsid w:val="00B32287"/>
    <w:rsid w:val="00B3264F"/>
    <w:rsid w:val="00B336D0"/>
    <w:rsid w:val="00B339DF"/>
    <w:rsid w:val="00B33F4C"/>
    <w:rsid w:val="00B33F95"/>
    <w:rsid w:val="00B340CF"/>
    <w:rsid w:val="00B3422F"/>
    <w:rsid w:val="00B347A7"/>
    <w:rsid w:val="00B35364"/>
    <w:rsid w:val="00B35900"/>
    <w:rsid w:val="00B35AE6"/>
    <w:rsid w:val="00B35EF3"/>
    <w:rsid w:val="00B361E4"/>
    <w:rsid w:val="00B366DD"/>
    <w:rsid w:val="00B36FA3"/>
    <w:rsid w:val="00B37DCC"/>
    <w:rsid w:val="00B40125"/>
    <w:rsid w:val="00B4033E"/>
    <w:rsid w:val="00B40411"/>
    <w:rsid w:val="00B40531"/>
    <w:rsid w:val="00B4080D"/>
    <w:rsid w:val="00B40A2F"/>
    <w:rsid w:val="00B40A51"/>
    <w:rsid w:val="00B40F2E"/>
    <w:rsid w:val="00B414CF"/>
    <w:rsid w:val="00B415A1"/>
    <w:rsid w:val="00B4161B"/>
    <w:rsid w:val="00B42A3F"/>
    <w:rsid w:val="00B42E8E"/>
    <w:rsid w:val="00B433EC"/>
    <w:rsid w:val="00B43966"/>
    <w:rsid w:val="00B43984"/>
    <w:rsid w:val="00B44AD9"/>
    <w:rsid w:val="00B44D4A"/>
    <w:rsid w:val="00B4585E"/>
    <w:rsid w:val="00B46D50"/>
    <w:rsid w:val="00B474D8"/>
    <w:rsid w:val="00B4790B"/>
    <w:rsid w:val="00B500F2"/>
    <w:rsid w:val="00B50881"/>
    <w:rsid w:val="00B51428"/>
    <w:rsid w:val="00B5161F"/>
    <w:rsid w:val="00B5240B"/>
    <w:rsid w:val="00B52589"/>
    <w:rsid w:val="00B531E9"/>
    <w:rsid w:val="00B5359B"/>
    <w:rsid w:val="00B537D7"/>
    <w:rsid w:val="00B540C3"/>
    <w:rsid w:val="00B5432D"/>
    <w:rsid w:val="00B5441B"/>
    <w:rsid w:val="00B549E3"/>
    <w:rsid w:val="00B558BF"/>
    <w:rsid w:val="00B55EFA"/>
    <w:rsid w:val="00B5647D"/>
    <w:rsid w:val="00B56654"/>
    <w:rsid w:val="00B56951"/>
    <w:rsid w:val="00B56CF8"/>
    <w:rsid w:val="00B57540"/>
    <w:rsid w:val="00B603A2"/>
    <w:rsid w:val="00B60515"/>
    <w:rsid w:val="00B609DC"/>
    <w:rsid w:val="00B60E04"/>
    <w:rsid w:val="00B60FE7"/>
    <w:rsid w:val="00B611F2"/>
    <w:rsid w:val="00B61371"/>
    <w:rsid w:val="00B61E69"/>
    <w:rsid w:val="00B62325"/>
    <w:rsid w:val="00B623EC"/>
    <w:rsid w:val="00B62B78"/>
    <w:rsid w:val="00B63524"/>
    <w:rsid w:val="00B6391A"/>
    <w:rsid w:val="00B642ED"/>
    <w:rsid w:val="00B643E9"/>
    <w:rsid w:val="00B64CB4"/>
    <w:rsid w:val="00B64DAF"/>
    <w:rsid w:val="00B65832"/>
    <w:rsid w:val="00B65ABD"/>
    <w:rsid w:val="00B65F8E"/>
    <w:rsid w:val="00B6619B"/>
    <w:rsid w:val="00B66551"/>
    <w:rsid w:val="00B666E5"/>
    <w:rsid w:val="00B66726"/>
    <w:rsid w:val="00B66E02"/>
    <w:rsid w:val="00B6734E"/>
    <w:rsid w:val="00B67449"/>
    <w:rsid w:val="00B67B07"/>
    <w:rsid w:val="00B700AC"/>
    <w:rsid w:val="00B708F4"/>
    <w:rsid w:val="00B710C2"/>
    <w:rsid w:val="00B71295"/>
    <w:rsid w:val="00B71477"/>
    <w:rsid w:val="00B71990"/>
    <w:rsid w:val="00B71EB9"/>
    <w:rsid w:val="00B7231E"/>
    <w:rsid w:val="00B723A4"/>
    <w:rsid w:val="00B72B03"/>
    <w:rsid w:val="00B72F79"/>
    <w:rsid w:val="00B72FBD"/>
    <w:rsid w:val="00B73C47"/>
    <w:rsid w:val="00B74AF2"/>
    <w:rsid w:val="00B75196"/>
    <w:rsid w:val="00B75B29"/>
    <w:rsid w:val="00B75BCF"/>
    <w:rsid w:val="00B7649E"/>
    <w:rsid w:val="00B767A4"/>
    <w:rsid w:val="00B76860"/>
    <w:rsid w:val="00B76992"/>
    <w:rsid w:val="00B76AC3"/>
    <w:rsid w:val="00B76EF8"/>
    <w:rsid w:val="00B77655"/>
    <w:rsid w:val="00B779A6"/>
    <w:rsid w:val="00B77FB1"/>
    <w:rsid w:val="00B806E2"/>
    <w:rsid w:val="00B807D7"/>
    <w:rsid w:val="00B80B52"/>
    <w:rsid w:val="00B8125A"/>
    <w:rsid w:val="00B8146D"/>
    <w:rsid w:val="00B8197E"/>
    <w:rsid w:val="00B81D62"/>
    <w:rsid w:val="00B81E8D"/>
    <w:rsid w:val="00B82937"/>
    <w:rsid w:val="00B82A6B"/>
    <w:rsid w:val="00B82D11"/>
    <w:rsid w:val="00B831B5"/>
    <w:rsid w:val="00B8381A"/>
    <w:rsid w:val="00B84694"/>
    <w:rsid w:val="00B84701"/>
    <w:rsid w:val="00B8489C"/>
    <w:rsid w:val="00B8531F"/>
    <w:rsid w:val="00B859D0"/>
    <w:rsid w:val="00B85B95"/>
    <w:rsid w:val="00B85F70"/>
    <w:rsid w:val="00B86835"/>
    <w:rsid w:val="00B90113"/>
    <w:rsid w:val="00B90303"/>
    <w:rsid w:val="00B90BAA"/>
    <w:rsid w:val="00B90EB0"/>
    <w:rsid w:val="00B910A9"/>
    <w:rsid w:val="00B91A50"/>
    <w:rsid w:val="00B91C55"/>
    <w:rsid w:val="00B91CDF"/>
    <w:rsid w:val="00B92271"/>
    <w:rsid w:val="00B92394"/>
    <w:rsid w:val="00B928EA"/>
    <w:rsid w:val="00B92B0E"/>
    <w:rsid w:val="00B9456E"/>
    <w:rsid w:val="00B95B11"/>
    <w:rsid w:val="00B95E1C"/>
    <w:rsid w:val="00B95E68"/>
    <w:rsid w:val="00B9692E"/>
    <w:rsid w:val="00B96944"/>
    <w:rsid w:val="00B97325"/>
    <w:rsid w:val="00B977BA"/>
    <w:rsid w:val="00B97C91"/>
    <w:rsid w:val="00BA000B"/>
    <w:rsid w:val="00BA002C"/>
    <w:rsid w:val="00BA0570"/>
    <w:rsid w:val="00BA0E8A"/>
    <w:rsid w:val="00BA0ED4"/>
    <w:rsid w:val="00BA155D"/>
    <w:rsid w:val="00BA1727"/>
    <w:rsid w:val="00BA1D00"/>
    <w:rsid w:val="00BA1EF3"/>
    <w:rsid w:val="00BA1F86"/>
    <w:rsid w:val="00BA1FC4"/>
    <w:rsid w:val="00BA24DC"/>
    <w:rsid w:val="00BA266A"/>
    <w:rsid w:val="00BA27D4"/>
    <w:rsid w:val="00BA27DB"/>
    <w:rsid w:val="00BA37A4"/>
    <w:rsid w:val="00BA3A89"/>
    <w:rsid w:val="00BA4171"/>
    <w:rsid w:val="00BA4AD4"/>
    <w:rsid w:val="00BA4BD0"/>
    <w:rsid w:val="00BA4BE0"/>
    <w:rsid w:val="00BA4D65"/>
    <w:rsid w:val="00BA5223"/>
    <w:rsid w:val="00BA54C8"/>
    <w:rsid w:val="00BA5990"/>
    <w:rsid w:val="00BA59CC"/>
    <w:rsid w:val="00BA6181"/>
    <w:rsid w:val="00BA665A"/>
    <w:rsid w:val="00BA6975"/>
    <w:rsid w:val="00BA77BD"/>
    <w:rsid w:val="00BA77CA"/>
    <w:rsid w:val="00BA79C7"/>
    <w:rsid w:val="00BA7C5B"/>
    <w:rsid w:val="00BA7FAF"/>
    <w:rsid w:val="00BB0027"/>
    <w:rsid w:val="00BB0815"/>
    <w:rsid w:val="00BB0DCE"/>
    <w:rsid w:val="00BB1240"/>
    <w:rsid w:val="00BB1273"/>
    <w:rsid w:val="00BB2295"/>
    <w:rsid w:val="00BB38B0"/>
    <w:rsid w:val="00BB3C28"/>
    <w:rsid w:val="00BB4274"/>
    <w:rsid w:val="00BB46D4"/>
    <w:rsid w:val="00BB4ECD"/>
    <w:rsid w:val="00BB54A0"/>
    <w:rsid w:val="00BB5BC1"/>
    <w:rsid w:val="00BB628F"/>
    <w:rsid w:val="00BB6463"/>
    <w:rsid w:val="00BB6786"/>
    <w:rsid w:val="00BB6824"/>
    <w:rsid w:val="00BB69B6"/>
    <w:rsid w:val="00BB6DBB"/>
    <w:rsid w:val="00BB6DEB"/>
    <w:rsid w:val="00BC0D18"/>
    <w:rsid w:val="00BC1A94"/>
    <w:rsid w:val="00BC2249"/>
    <w:rsid w:val="00BC25D7"/>
    <w:rsid w:val="00BC2E31"/>
    <w:rsid w:val="00BC319C"/>
    <w:rsid w:val="00BC4350"/>
    <w:rsid w:val="00BC47D4"/>
    <w:rsid w:val="00BC49CB"/>
    <w:rsid w:val="00BC49CE"/>
    <w:rsid w:val="00BC49D6"/>
    <w:rsid w:val="00BC4CB3"/>
    <w:rsid w:val="00BC4DB5"/>
    <w:rsid w:val="00BC4F36"/>
    <w:rsid w:val="00BC4FE4"/>
    <w:rsid w:val="00BC51E5"/>
    <w:rsid w:val="00BC624C"/>
    <w:rsid w:val="00BC62B0"/>
    <w:rsid w:val="00BC6627"/>
    <w:rsid w:val="00BC6BD9"/>
    <w:rsid w:val="00BC6C70"/>
    <w:rsid w:val="00BC7248"/>
    <w:rsid w:val="00BC731E"/>
    <w:rsid w:val="00BC75FB"/>
    <w:rsid w:val="00BC76F2"/>
    <w:rsid w:val="00BD18ED"/>
    <w:rsid w:val="00BD1F4A"/>
    <w:rsid w:val="00BD24D3"/>
    <w:rsid w:val="00BD3147"/>
    <w:rsid w:val="00BD33BE"/>
    <w:rsid w:val="00BD340B"/>
    <w:rsid w:val="00BD3428"/>
    <w:rsid w:val="00BD4FC3"/>
    <w:rsid w:val="00BD53AD"/>
    <w:rsid w:val="00BD53B8"/>
    <w:rsid w:val="00BD5502"/>
    <w:rsid w:val="00BD58D8"/>
    <w:rsid w:val="00BD5EA0"/>
    <w:rsid w:val="00BD6BCF"/>
    <w:rsid w:val="00BD6E0B"/>
    <w:rsid w:val="00BD73D5"/>
    <w:rsid w:val="00BD7595"/>
    <w:rsid w:val="00BD7B3A"/>
    <w:rsid w:val="00BD7FDE"/>
    <w:rsid w:val="00BE0621"/>
    <w:rsid w:val="00BE0DF9"/>
    <w:rsid w:val="00BE0F85"/>
    <w:rsid w:val="00BE0FAF"/>
    <w:rsid w:val="00BE0FCA"/>
    <w:rsid w:val="00BE1497"/>
    <w:rsid w:val="00BE1506"/>
    <w:rsid w:val="00BE2458"/>
    <w:rsid w:val="00BE2512"/>
    <w:rsid w:val="00BE2ADF"/>
    <w:rsid w:val="00BE2BAD"/>
    <w:rsid w:val="00BE2CDF"/>
    <w:rsid w:val="00BE3BAC"/>
    <w:rsid w:val="00BE4174"/>
    <w:rsid w:val="00BE4305"/>
    <w:rsid w:val="00BE466A"/>
    <w:rsid w:val="00BE47C8"/>
    <w:rsid w:val="00BE48FB"/>
    <w:rsid w:val="00BE5B01"/>
    <w:rsid w:val="00BE5D71"/>
    <w:rsid w:val="00BE5FCB"/>
    <w:rsid w:val="00BE604A"/>
    <w:rsid w:val="00BE61D5"/>
    <w:rsid w:val="00BE6B43"/>
    <w:rsid w:val="00BE6BCE"/>
    <w:rsid w:val="00BE6BDE"/>
    <w:rsid w:val="00BE6DC9"/>
    <w:rsid w:val="00BE6F90"/>
    <w:rsid w:val="00BE7143"/>
    <w:rsid w:val="00BE77D6"/>
    <w:rsid w:val="00BE7BFD"/>
    <w:rsid w:val="00BE7D49"/>
    <w:rsid w:val="00BF0259"/>
    <w:rsid w:val="00BF0447"/>
    <w:rsid w:val="00BF051C"/>
    <w:rsid w:val="00BF0E27"/>
    <w:rsid w:val="00BF0E64"/>
    <w:rsid w:val="00BF0F7F"/>
    <w:rsid w:val="00BF1602"/>
    <w:rsid w:val="00BF2642"/>
    <w:rsid w:val="00BF2DBB"/>
    <w:rsid w:val="00BF378A"/>
    <w:rsid w:val="00BF3AEA"/>
    <w:rsid w:val="00BF455A"/>
    <w:rsid w:val="00BF4798"/>
    <w:rsid w:val="00BF4BA8"/>
    <w:rsid w:val="00BF5625"/>
    <w:rsid w:val="00BF56C2"/>
    <w:rsid w:val="00BF5FB1"/>
    <w:rsid w:val="00BF63E4"/>
    <w:rsid w:val="00BF6745"/>
    <w:rsid w:val="00BF6772"/>
    <w:rsid w:val="00BF6C08"/>
    <w:rsid w:val="00BF6D58"/>
    <w:rsid w:val="00BF749B"/>
    <w:rsid w:val="00BF74A3"/>
    <w:rsid w:val="00BF7691"/>
    <w:rsid w:val="00C000C0"/>
    <w:rsid w:val="00C00DC0"/>
    <w:rsid w:val="00C014EE"/>
    <w:rsid w:val="00C01A82"/>
    <w:rsid w:val="00C01D49"/>
    <w:rsid w:val="00C02410"/>
    <w:rsid w:val="00C025E8"/>
    <w:rsid w:val="00C03147"/>
    <w:rsid w:val="00C03234"/>
    <w:rsid w:val="00C038A4"/>
    <w:rsid w:val="00C03E39"/>
    <w:rsid w:val="00C044F1"/>
    <w:rsid w:val="00C04581"/>
    <w:rsid w:val="00C0470E"/>
    <w:rsid w:val="00C047B9"/>
    <w:rsid w:val="00C04E65"/>
    <w:rsid w:val="00C05214"/>
    <w:rsid w:val="00C053E0"/>
    <w:rsid w:val="00C05537"/>
    <w:rsid w:val="00C05587"/>
    <w:rsid w:val="00C055B2"/>
    <w:rsid w:val="00C058F1"/>
    <w:rsid w:val="00C06B2F"/>
    <w:rsid w:val="00C06DB3"/>
    <w:rsid w:val="00C071B3"/>
    <w:rsid w:val="00C076E2"/>
    <w:rsid w:val="00C07BF9"/>
    <w:rsid w:val="00C106C2"/>
    <w:rsid w:val="00C10A17"/>
    <w:rsid w:val="00C10DD8"/>
    <w:rsid w:val="00C10F2B"/>
    <w:rsid w:val="00C1140C"/>
    <w:rsid w:val="00C115F8"/>
    <w:rsid w:val="00C11A3A"/>
    <w:rsid w:val="00C11AE1"/>
    <w:rsid w:val="00C11C3B"/>
    <w:rsid w:val="00C1262A"/>
    <w:rsid w:val="00C12B9A"/>
    <w:rsid w:val="00C131B1"/>
    <w:rsid w:val="00C13597"/>
    <w:rsid w:val="00C136F6"/>
    <w:rsid w:val="00C13B58"/>
    <w:rsid w:val="00C144A6"/>
    <w:rsid w:val="00C146A2"/>
    <w:rsid w:val="00C147B7"/>
    <w:rsid w:val="00C14B95"/>
    <w:rsid w:val="00C15555"/>
    <w:rsid w:val="00C1597C"/>
    <w:rsid w:val="00C15D56"/>
    <w:rsid w:val="00C15D97"/>
    <w:rsid w:val="00C1661D"/>
    <w:rsid w:val="00C17414"/>
    <w:rsid w:val="00C1775D"/>
    <w:rsid w:val="00C17786"/>
    <w:rsid w:val="00C17FEE"/>
    <w:rsid w:val="00C205E5"/>
    <w:rsid w:val="00C20A43"/>
    <w:rsid w:val="00C20A9E"/>
    <w:rsid w:val="00C20D09"/>
    <w:rsid w:val="00C216E2"/>
    <w:rsid w:val="00C21C10"/>
    <w:rsid w:val="00C21F8E"/>
    <w:rsid w:val="00C2263C"/>
    <w:rsid w:val="00C23008"/>
    <w:rsid w:val="00C23A7C"/>
    <w:rsid w:val="00C23BE6"/>
    <w:rsid w:val="00C23C84"/>
    <w:rsid w:val="00C242B9"/>
    <w:rsid w:val="00C242E3"/>
    <w:rsid w:val="00C243CB"/>
    <w:rsid w:val="00C24661"/>
    <w:rsid w:val="00C24DB9"/>
    <w:rsid w:val="00C2536F"/>
    <w:rsid w:val="00C258C7"/>
    <w:rsid w:val="00C25EBB"/>
    <w:rsid w:val="00C2633D"/>
    <w:rsid w:val="00C2684F"/>
    <w:rsid w:val="00C26BFF"/>
    <w:rsid w:val="00C26E90"/>
    <w:rsid w:val="00C26FA0"/>
    <w:rsid w:val="00C278E1"/>
    <w:rsid w:val="00C27ABC"/>
    <w:rsid w:val="00C301B9"/>
    <w:rsid w:val="00C30856"/>
    <w:rsid w:val="00C30EC0"/>
    <w:rsid w:val="00C3165E"/>
    <w:rsid w:val="00C3249E"/>
    <w:rsid w:val="00C32A15"/>
    <w:rsid w:val="00C32C5C"/>
    <w:rsid w:val="00C331CE"/>
    <w:rsid w:val="00C33493"/>
    <w:rsid w:val="00C33528"/>
    <w:rsid w:val="00C33ED2"/>
    <w:rsid w:val="00C342A6"/>
    <w:rsid w:val="00C342B8"/>
    <w:rsid w:val="00C34333"/>
    <w:rsid w:val="00C34863"/>
    <w:rsid w:val="00C34F56"/>
    <w:rsid w:val="00C35CF3"/>
    <w:rsid w:val="00C362CC"/>
    <w:rsid w:val="00C3656D"/>
    <w:rsid w:val="00C37418"/>
    <w:rsid w:val="00C37519"/>
    <w:rsid w:val="00C3774D"/>
    <w:rsid w:val="00C379CF"/>
    <w:rsid w:val="00C37CBC"/>
    <w:rsid w:val="00C40C5C"/>
    <w:rsid w:val="00C41264"/>
    <w:rsid w:val="00C41336"/>
    <w:rsid w:val="00C4149B"/>
    <w:rsid w:val="00C4173C"/>
    <w:rsid w:val="00C41E15"/>
    <w:rsid w:val="00C41F4B"/>
    <w:rsid w:val="00C43165"/>
    <w:rsid w:val="00C433F9"/>
    <w:rsid w:val="00C4398F"/>
    <w:rsid w:val="00C43D26"/>
    <w:rsid w:val="00C4434F"/>
    <w:rsid w:val="00C44A2A"/>
    <w:rsid w:val="00C44A50"/>
    <w:rsid w:val="00C44C72"/>
    <w:rsid w:val="00C44E23"/>
    <w:rsid w:val="00C45056"/>
    <w:rsid w:val="00C450BF"/>
    <w:rsid w:val="00C4553D"/>
    <w:rsid w:val="00C4584E"/>
    <w:rsid w:val="00C45C91"/>
    <w:rsid w:val="00C45D47"/>
    <w:rsid w:val="00C45ED4"/>
    <w:rsid w:val="00C4606E"/>
    <w:rsid w:val="00C46103"/>
    <w:rsid w:val="00C463F3"/>
    <w:rsid w:val="00C46743"/>
    <w:rsid w:val="00C46781"/>
    <w:rsid w:val="00C46785"/>
    <w:rsid w:val="00C46838"/>
    <w:rsid w:val="00C47E27"/>
    <w:rsid w:val="00C47F88"/>
    <w:rsid w:val="00C50315"/>
    <w:rsid w:val="00C50D1C"/>
    <w:rsid w:val="00C50E6A"/>
    <w:rsid w:val="00C51734"/>
    <w:rsid w:val="00C5232E"/>
    <w:rsid w:val="00C5235A"/>
    <w:rsid w:val="00C52989"/>
    <w:rsid w:val="00C52FF4"/>
    <w:rsid w:val="00C53411"/>
    <w:rsid w:val="00C53949"/>
    <w:rsid w:val="00C53B20"/>
    <w:rsid w:val="00C543E7"/>
    <w:rsid w:val="00C549DE"/>
    <w:rsid w:val="00C54B79"/>
    <w:rsid w:val="00C54CA3"/>
    <w:rsid w:val="00C555D6"/>
    <w:rsid w:val="00C55987"/>
    <w:rsid w:val="00C55BE2"/>
    <w:rsid w:val="00C55E02"/>
    <w:rsid w:val="00C55EA6"/>
    <w:rsid w:val="00C561A0"/>
    <w:rsid w:val="00C5648E"/>
    <w:rsid w:val="00C56BF1"/>
    <w:rsid w:val="00C56CE4"/>
    <w:rsid w:val="00C56F8D"/>
    <w:rsid w:val="00C5700A"/>
    <w:rsid w:val="00C5711E"/>
    <w:rsid w:val="00C579ED"/>
    <w:rsid w:val="00C60270"/>
    <w:rsid w:val="00C60341"/>
    <w:rsid w:val="00C604E1"/>
    <w:rsid w:val="00C60BF9"/>
    <w:rsid w:val="00C62130"/>
    <w:rsid w:val="00C622F0"/>
    <w:rsid w:val="00C626DC"/>
    <w:rsid w:val="00C6322C"/>
    <w:rsid w:val="00C635A7"/>
    <w:rsid w:val="00C63852"/>
    <w:rsid w:val="00C63B01"/>
    <w:rsid w:val="00C63C38"/>
    <w:rsid w:val="00C64698"/>
    <w:rsid w:val="00C653C6"/>
    <w:rsid w:val="00C653F2"/>
    <w:rsid w:val="00C65502"/>
    <w:rsid w:val="00C65B38"/>
    <w:rsid w:val="00C65EAE"/>
    <w:rsid w:val="00C65FC2"/>
    <w:rsid w:val="00C66362"/>
    <w:rsid w:val="00C664B7"/>
    <w:rsid w:val="00C6656E"/>
    <w:rsid w:val="00C66865"/>
    <w:rsid w:val="00C66B3B"/>
    <w:rsid w:val="00C67090"/>
    <w:rsid w:val="00C67394"/>
    <w:rsid w:val="00C674A6"/>
    <w:rsid w:val="00C67A04"/>
    <w:rsid w:val="00C67B8D"/>
    <w:rsid w:val="00C709FF"/>
    <w:rsid w:val="00C70A01"/>
    <w:rsid w:val="00C70D40"/>
    <w:rsid w:val="00C70E15"/>
    <w:rsid w:val="00C713F3"/>
    <w:rsid w:val="00C7160C"/>
    <w:rsid w:val="00C7185B"/>
    <w:rsid w:val="00C719C0"/>
    <w:rsid w:val="00C71AA0"/>
    <w:rsid w:val="00C71B27"/>
    <w:rsid w:val="00C71BA1"/>
    <w:rsid w:val="00C71BA7"/>
    <w:rsid w:val="00C71FAE"/>
    <w:rsid w:val="00C721AA"/>
    <w:rsid w:val="00C72421"/>
    <w:rsid w:val="00C72685"/>
    <w:rsid w:val="00C728E0"/>
    <w:rsid w:val="00C7359C"/>
    <w:rsid w:val="00C736CC"/>
    <w:rsid w:val="00C73C34"/>
    <w:rsid w:val="00C73D63"/>
    <w:rsid w:val="00C741DA"/>
    <w:rsid w:val="00C747B1"/>
    <w:rsid w:val="00C74C8B"/>
    <w:rsid w:val="00C751DC"/>
    <w:rsid w:val="00C75C5C"/>
    <w:rsid w:val="00C75CCB"/>
    <w:rsid w:val="00C75D67"/>
    <w:rsid w:val="00C75F0C"/>
    <w:rsid w:val="00C766C0"/>
    <w:rsid w:val="00C76A70"/>
    <w:rsid w:val="00C76EF8"/>
    <w:rsid w:val="00C7743A"/>
    <w:rsid w:val="00C77702"/>
    <w:rsid w:val="00C77A56"/>
    <w:rsid w:val="00C801A9"/>
    <w:rsid w:val="00C80347"/>
    <w:rsid w:val="00C80522"/>
    <w:rsid w:val="00C80835"/>
    <w:rsid w:val="00C80912"/>
    <w:rsid w:val="00C80BB9"/>
    <w:rsid w:val="00C80D02"/>
    <w:rsid w:val="00C81739"/>
    <w:rsid w:val="00C818B1"/>
    <w:rsid w:val="00C81E83"/>
    <w:rsid w:val="00C82D18"/>
    <w:rsid w:val="00C83A9B"/>
    <w:rsid w:val="00C84F6F"/>
    <w:rsid w:val="00C85186"/>
    <w:rsid w:val="00C8540B"/>
    <w:rsid w:val="00C855A9"/>
    <w:rsid w:val="00C85643"/>
    <w:rsid w:val="00C86218"/>
    <w:rsid w:val="00C864C7"/>
    <w:rsid w:val="00C865FE"/>
    <w:rsid w:val="00C87008"/>
    <w:rsid w:val="00C87113"/>
    <w:rsid w:val="00C87704"/>
    <w:rsid w:val="00C877A7"/>
    <w:rsid w:val="00C877C4"/>
    <w:rsid w:val="00C905A7"/>
    <w:rsid w:val="00C914CE"/>
    <w:rsid w:val="00C91D9C"/>
    <w:rsid w:val="00C91F23"/>
    <w:rsid w:val="00C91F3C"/>
    <w:rsid w:val="00C92000"/>
    <w:rsid w:val="00C92965"/>
    <w:rsid w:val="00C92C10"/>
    <w:rsid w:val="00C9301D"/>
    <w:rsid w:val="00C9313C"/>
    <w:rsid w:val="00C934B4"/>
    <w:rsid w:val="00C94803"/>
    <w:rsid w:val="00C94B59"/>
    <w:rsid w:val="00C95347"/>
    <w:rsid w:val="00C95833"/>
    <w:rsid w:val="00C96B0E"/>
    <w:rsid w:val="00C96EEA"/>
    <w:rsid w:val="00C97002"/>
    <w:rsid w:val="00C976CB"/>
    <w:rsid w:val="00C97C1B"/>
    <w:rsid w:val="00C97D79"/>
    <w:rsid w:val="00C97EBC"/>
    <w:rsid w:val="00CA01C7"/>
    <w:rsid w:val="00CA0D37"/>
    <w:rsid w:val="00CA138F"/>
    <w:rsid w:val="00CA1694"/>
    <w:rsid w:val="00CA1C6F"/>
    <w:rsid w:val="00CA1D5E"/>
    <w:rsid w:val="00CA2103"/>
    <w:rsid w:val="00CA2647"/>
    <w:rsid w:val="00CA29DA"/>
    <w:rsid w:val="00CA2AC1"/>
    <w:rsid w:val="00CA3095"/>
    <w:rsid w:val="00CA32F6"/>
    <w:rsid w:val="00CA3C7F"/>
    <w:rsid w:val="00CA3FDB"/>
    <w:rsid w:val="00CA4024"/>
    <w:rsid w:val="00CA40E4"/>
    <w:rsid w:val="00CA442B"/>
    <w:rsid w:val="00CA50D4"/>
    <w:rsid w:val="00CA53D5"/>
    <w:rsid w:val="00CA578B"/>
    <w:rsid w:val="00CA6227"/>
    <w:rsid w:val="00CA630A"/>
    <w:rsid w:val="00CA64FC"/>
    <w:rsid w:val="00CA6910"/>
    <w:rsid w:val="00CA6AB1"/>
    <w:rsid w:val="00CA7909"/>
    <w:rsid w:val="00CA7A15"/>
    <w:rsid w:val="00CA7C88"/>
    <w:rsid w:val="00CB07F3"/>
    <w:rsid w:val="00CB0CB0"/>
    <w:rsid w:val="00CB0CE5"/>
    <w:rsid w:val="00CB0E8D"/>
    <w:rsid w:val="00CB1EFC"/>
    <w:rsid w:val="00CB2CBA"/>
    <w:rsid w:val="00CB3277"/>
    <w:rsid w:val="00CB4538"/>
    <w:rsid w:val="00CB4996"/>
    <w:rsid w:val="00CB5D23"/>
    <w:rsid w:val="00CB6793"/>
    <w:rsid w:val="00CB6C2F"/>
    <w:rsid w:val="00CB6EDB"/>
    <w:rsid w:val="00CB6FA7"/>
    <w:rsid w:val="00CB7CA2"/>
    <w:rsid w:val="00CC0798"/>
    <w:rsid w:val="00CC095E"/>
    <w:rsid w:val="00CC0A3A"/>
    <w:rsid w:val="00CC0C6E"/>
    <w:rsid w:val="00CC14E3"/>
    <w:rsid w:val="00CC17A0"/>
    <w:rsid w:val="00CC1A4D"/>
    <w:rsid w:val="00CC2740"/>
    <w:rsid w:val="00CC2790"/>
    <w:rsid w:val="00CC358B"/>
    <w:rsid w:val="00CC35A6"/>
    <w:rsid w:val="00CC3A3F"/>
    <w:rsid w:val="00CC3B7E"/>
    <w:rsid w:val="00CC4388"/>
    <w:rsid w:val="00CC46A9"/>
    <w:rsid w:val="00CC471D"/>
    <w:rsid w:val="00CC47B3"/>
    <w:rsid w:val="00CC4CA6"/>
    <w:rsid w:val="00CC4E52"/>
    <w:rsid w:val="00CC53B7"/>
    <w:rsid w:val="00CC5432"/>
    <w:rsid w:val="00CC58C7"/>
    <w:rsid w:val="00CC5F0C"/>
    <w:rsid w:val="00CC630C"/>
    <w:rsid w:val="00CC6CBF"/>
    <w:rsid w:val="00CC6D10"/>
    <w:rsid w:val="00CC6FEF"/>
    <w:rsid w:val="00CC71F4"/>
    <w:rsid w:val="00CC72BD"/>
    <w:rsid w:val="00CC75FC"/>
    <w:rsid w:val="00CC764E"/>
    <w:rsid w:val="00CC7DFA"/>
    <w:rsid w:val="00CC7E3E"/>
    <w:rsid w:val="00CD0934"/>
    <w:rsid w:val="00CD0FC1"/>
    <w:rsid w:val="00CD155A"/>
    <w:rsid w:val="00CD1847"/>
    <w:rsid w:val="00CD1EB2"/>
    <w:rsid w:val="00CD25A1"/>
    <w:rsid w:val="00CD2E60"/>
    <w:rsid w:val="00CD39EC"/>
    <w:rsid w:val="00CD3C4A"/>
    <w:rsid w:val="00CD3EFA"/>
    <w:rsid w:val="00CD3F4A"/>
    <w:rsid w:val="00CD43FF"/>
    <w:rsid w:val="00CD464E"/>
    <w:rsid w:val="00CD4789"/>
    <w:rsid w:val="00CD491F"/>
    <w:rsid w:val="00CD5160"/>
    <w:rsid w:val="00CD540E"/>
    <w:rsid w:val="00CD5602"/>
    <w:rsid w:val="00CD57C9"/>
    <w:rsid w:val="00CD5B6F"/>
    <w:rsid w:val="00CD60A8"/>
    <w:rsid w:val="00CD68E9"/>
    <w:rsid w:val="00CD6FDD"/>
    <w:rsid w:val="00CD70B5"/>
    <w:rsid w:val="00CD7A5C"/>
    <w:rsid w:val="00CD7AFB"/>
    <w:rsid w:val="00CE0767"/>
    <w:rsid w:val="00CE0CCC"/>
    <w:rsid w:val="00CE145A"/>
    <w:rsid w:val="00CE162A"/>
    <w:rsid w:val="00CE27DD"/>
    <w:rsid w:val="00CE29AB"/>
    <w:rsid w:val="00CE2F01"/>
    <w:rsid w:val="00CE2F54"/>
    <w:rsid w:val="00CE2F90"/>
    <w:rsid w:val="00CE305F"/>
    <w:rsid w:val="00CE3245"/>
    <w:rsid w:val="00CE35E8"/>
    <w:rsid w:val="00CE37C4"/>
    <w:rsid w:val="00CE3D3F"/>
    <w:rsid w:val="00CE4026"/>
    <w:rsid w:val="00CE421A"/>
    <w:rsid w:val="00CE4281"/>
    <w:rsid w:val="00CE4EAB"/>
    <w:rsid w:val="00CE5191"/>
    <w:rsid w:val="00CE54DE"/>
    <w:rsid w:val="00CE647C"/>
    <w:rsid w:val="00CE6789"/>
    <w:rsid w:val="00CE6E3F"/>
    <w:rsid w:val="00CE73D1"/>
    <w:rsid w:val="00CE7E57"/>
    <w:rsid w:val="00CF0243"/>
    <w:rsid w:val="00CF04C7"/>
    <w:rsid w:val="00CF0B8E"/>
    <w:rsid w:val="00CF0C0F"/>
    <w:rsid w:val="00CF19E5"/>
    <w:rsid w:val="00CF23CB"/>
    <w:rsid w:val="00CF2639"/>
    <w:rsid w:val="00CF2755"/>
    <w:rsid w:val="00CF281E"/>
    <w:rsid w:val="00CF2A07"/>
    <w:rsid w:val="00CF2AF7"/>
    <w:rsid w:val="00CF3157"/>
    <w:rsid w:val="00CF3162"/>
    <w:rsid w:val="00CF3B7D"/>
    <w:rsid w:val="00CF42D2"/>
    <w:rsid w:val="00CF4754"/>
    <w:rsid w:val="00CF4997"/>
    <w:rsid w:val="00CF4A68"/>
    <w:rsid w:val="00CF4D1D"/>
    <w:rsid w:val="00CF4E28"/>
    <w:rsid w:val="00CF4FF8"/>
    <w:rsid w:val="00CF5818"/>
    <w:rsid w:val="00CF5B26"/>
    <w:rsid w:val="00CF64FD"/>
    <w:rsid w:val="00CF69B6"/>
    <w:rsid w:val="00CF6AC2"/>
    <w:rsid w:val="00CF6AD2"/>
    <w:rsid w:val="00CF6F09"/>
    <w:rsid w:val="00CF6FCA"/>
    <w:rsid w:val="00CF740A"/>
    <w:rsid w:val="00CF7516"/>
    <w:rsid w:val="00CF7A9E"/>
    <w:rsid w:val="00D00F7C"/>
    <w:rsid w:val="00D00F98"/>
    <w:rsid w:val="00D01458"/>
    <w:rsid w:val="00D01673"/>
    <w:rsid w:val="00D01B52"/>
    <w:rsid w:val="00D01DC4"/>
    <w:rsid w:val="00D01F16"/>
    <w:rsid w:val="00D0231F"/>
    <w:rsid w:val="00D029F3"/>
    <w:rsid w:val="00D02E25"/>
    <w:rsid w:val="00D03B7B"/>
    <w:rsid w:val="00D046FE"/>
    <w:rsid w:val="00D04841"/>
    <w:rsid w:val="00D04CC6"/>
    <w:rsid w:val="00D04F4D"/>
    <w:rsid w:val="00D0509D"/>
    <w:rsid w:val="00D0524F"/>
    <w:rsid w:val="00D0569A"/>
    <w:rsid w:val="00D0693D"/>
    <w:rsid w:val="00D06CA2"/>
    <w:rsid w:val="00D077AB"/>
    <w:rsid w:val="00D0791C"/>
    <w:rsid w:val="00D07ECD"/>
    <w:rsid w:val="00D10305"/>
    <w:rsid w:val="00D105EF"/>
    <w:rsid w:val="00D113BF"/>
    <w:rsid w:val="00D11438"/>
    <w:rsid w:val="00D1164C"/>
    <w:rsid w:val="00D1229D"/>
    <w:rsid w:val="00D124D1"/>
    <w:rsid w:val="00D12BC2"/>
    <w:rsid w:val="00D12CB1"/>
    <w:rsid w:val="00D12E73"/>
    <w:rsid w:val="00D134B9"/>
    <w:rsid w:val="00D1369E"/>
    <w:rsid w:val="00D13EAD"/>
    <w:rsid w:val="00D13FAE"/>
    <w:rsid w:val="00D153F5"/>
    <w:rsid w:val="00D15652"/>
    <w:rsid w:val="00D15B85"/>
    <w:rsid w:val="00D15C7F"/>
    <w:rsid w:val="00D15CE0"/>
    <w:rsid w:val="00D15E8A"/>
    <w:rsid w:val="00D1622F"/>
    <w:rsid w:val="00D16519"/>
    <w:rsid w:val="00D16548"/>
    <w:rsid w:val="00D167EA"/>
    <w:rsid w:val="00D170AF"/>
    <w:rsid w:val="00D17111"/>
    <w:rsid w:val="00D171C0"/>
    <w:rsid w:val="00D17EAF"/>
    <w:rsid w:val="00D17FB0"/>
    <w:rsid w:val="00D20723"/>
    <w:rsid w:val="00D20D83"/>
    <w:rsid w:val="00D2123D"/>
    <w:rsid w:val="00D21A78"/>
    <w:rsid w:val="00D21AF6"/>
    <w:rsid w:val="00D227E1"/>
    <w:rsid w:val="00D22975"/>
    <w:rsid w:val="00D22B77"/>
    <w:rsid w:val="00D22E5D"/>
    <w:rsid w:val="00D22EC1"/>
    <w:rsid w:val="00D23353"/>
    <w:rsid w:val="00D23527"/>
    <w:rsid w:val="00D23EE8"/>
    <w:rsid w:val="00D2420C"/>
    <w:rsid w:val="00D24AA9"/>
    <w:rsid w:val="00D25035"/>
    <w:rsid w:val="00D25B95"/>
    <w:rsid w:val="00D25BEE"/>
    <w:rsid w:val="00D25E01"/>
    <w:rsid w:val="00D26077"/>
    <w:rsid w:val="00D26A93"/>
    <w:rsid w:val="00D270B5"/>
    <w:rsid w:val="00D27977"/>
    <w:rsid w:val="00D27D9E"/>
    <w:rsid w:val="00D30A70"/>
    <w:rsid w:val="00D30F56"/>
    <w:rsid w:val="00D310C3"/>
    <w:rsid w:val="00D312AD"/>
    <w:rsid w:val="00D317A9"/>
    <w:rsid w:val="00D3189B"/>
    <w:rsid w:val="00D31D4B"/>
    <w:rsid w:val="00D32089"/>
    <w:rsid w:val="00D321DC"/>
    <w:rsid w:val="00D32604"/>
    <w:rsid w:val="00D32C92"/>
    <w:rsid w:val="00D32D3B"/>
    <w:rsid w:val="00D33B44"/>
    <w:rsid w:val="00D3451B"/>
    <w:rsid w:val="00D34696"/>
    <w:rsid w:val="00D34779"/>
    <w:rsid w:val="00D34927"/>
    <w:rsid w:val="00D34A13"/>
    <w:rsid w:val="00D34C8F"/>
    <w:rsid w:val="00D358AB"/>
    <w:rsid w:val="00D36154"/>
    <w:rsid w:val="00D36391"/>
    <w:rsid w:val="00D364F3"/>
    <w:rsid w:val="00D3651E"/>
    <w:rsid w:val="00D36730"/>
    <w:rsid w:val="00D36ABC"/>
    <w:rsid w:val="00D3706E"/>
    <w:rsid w:val="00D370B8"/>
    <w:rsid w:val="00D37CB5"/>
    <w:rsid w:val="00D417FE"/>
    <w:rsid w:val="00D41CF7"/>
    <w:rsid w:val="00D41D8D"/>
    <w:rsid w:val="00D42180"/>
    <w:rsid w:val="00D422CF"/>
    <w:rsid w:val="00D42BF7"/>
    <w:rsid w:val="00D42EB5"/>
    <w:rsid w:val="00D43B21"/>
    <w:rsid w:val="00D440F1"/>
    <w:rsid w:val="00D44127"/>
    <w:rsid w:val="00D44307"/>
    <w:rsid w:val="00D4445D"/>
    <w:rsid w:val="00D44597"/>
    <w:rsid w:val="00D452E6"/>
    <w:rsid w:val="00D4560A"/>
    <w:rsid w:val="00D456D7"/>
    <w:rsid w:val="00D465E7"/>
    <w:rsid w:val="00D467DF"/>
    <w:rsid w:val="00D46BBB"/>
    <w:rsid w:val="00D46E4D"/>
    <w:rsid w:val="00D46F28"/>
    <w:rsid w:val="00D47078"/>
    <w:rsid w:val="00D470EC"/>
    <w:rsid w:val="00D478CE"/>
    <w:rsid w:val="00D47A6E"/>
    <w:rsid w:val="00D47DAD"/>
    <w:rsid w:val="00D5044D"/>
    <w:rsid w:val="00D5045F"/>
    <w:rsid w:val="00D5085D"/>
    <w:rsid w:val="00D50E85"/>
    <w:rsid w:val="00D511BB"/>
    <w:rsid w:val="00D5198E"/>
    <w:rsid w:val="00D51EB6"/>
    <w:rsid w:val="00D52400"/>
    <w:rsid w:val="00D52C14"/>
    <w:rsid w:val="00D52DD3"/>
    <w:rsid w:val="00D52EC4"/>
    <w:rsid w:val="00D53702"/>
    <w:rsid w:val="00D5380A"/>
    <w:rsid w:val="00D54B6E"/>
    <w:rsid w:val="00D5594B"/>
    <w:rsid w:val="00D55E96"/>
    <w:rsid w:val="00D5601E"/>
    <w:rsid w:val="00D5611A"/>
    <w:rsid w:val="00D56F83"/>
    <w:rsid w:val="00D57050"/>
    <w:rsid w:val="00D5715A"/>
    <w:rsid w:val="00D57331"/>
    <w:rsid w:val="00D60499"/>
    <w:rsid w:val="00D60697"/>
    <w:rsid w:val="00D617CB"/>
    <w:rsid w:val="00D62182"/>
    <w:rsid w:val="00D629F0"/>
    <w:rsid w:val="00D630BE"/>
    <w:rsid w:val="00D63201"/>
    <w:rsid w:val="00D633A3"/>
    <w:rsid w:val="00D635CE"/>
    <w:rsid w:val="00D63DBF"/>
    <w:rsid w:val="00D6425B"/>
    <w:rsid w:val="00D64DFD"/>
    <w:rsid w:val="00D657F4"/>
    <w:rsid w:val="00D65DE9"/>
    <w:rsid w:val="00D66381"/>
    <w:rsid w:val="00D66465"/>
    <w:rsid w:val="00D674D7"/>
    <w:rsid w:val="00D674DA"/>
    <w:rsid w:val="00D679B0"/>
    <w:rsid w:val="00D67D24"/>
    <w:rsid w:val="00D7024F"/>
    <w:rsid w:val="00D702F3"/>
    <w:rsid w:val="00D70382"/>
    <w:rsid w:val="00D70ED6"/>
    <w:rsid w:val="00D70F89"/>
    <w:rsid w:val="00D7144D"/>
    <w:rsid w:val="00D71535"/>
    <w:rsid w:val="00D71C09"/>
    <w:rsid w:val="00D71E4F"/>
    <w:rsid w:val="00D72B08"/>
    <w:rsid w:val="00D72D33"/>
    <w:rsid w:val="00D730C4"/>
    <w:rsid w:val="00D73599"/>
    <w:rsid w:val="00D73A06"/>
    <w:rsid w:val="00D74081"/>
    <w:rsid w:val="00D75E84"/>
    <w:rsid w:val="00D763CD"/>
    <w:rsid w:val="00D76679"/>
    <w:rsid w:val="00D76775"/>
    <w:rsid w:val="00D771B5"/>
    <w:rsid w:val="00D77470"/>
    <w:rsid w:val="00D7757E"/>
    <w:rsid w:val="00D77668"/>
    <w:rsid w:val="00D77720"/>
    <w:rsid w:val="00D77B15"/>
    <w:rsid w:val="00D77C12"/>
    <w:rsid w:val="00D77C74"/>
    <w:rsid w:val="00D77F68"/>
    <w:rsid w:val="00D77FDC"/>
    <w:rsid w:val="00D802FD"/>
    <w:rsid w:val="00D806F8"/>
    <w:rsid w:val="00D80967"/>
    <w:rsid w:val="00D8115C"/>
    <w:rsid w:val="00D81EAA"/>
    <w:rsid w:val="00D81FF2"/>
    <w:rsid w:val="00D82B06"/>
    <w:rsid w:val="00D831B3"/>
    <w:rsid w:val="00D83469"/>
    <w:rsid w:val="00D83DC0"/>
    <w:rsid w:val="00D84813"/>
    <w:rsid w:val="00D84E52"/>
    <w:rsid w:val="00D857B2"/>
    <w:rsid w:val="00D85804"/>
    <w:rsid w:val="00D858FA"/>
    <w:rsid w:val="00D85E69"/>
    <w:rsid w:val="00D85F27"/>
    <w:rsid w:val="00D85F89"/>
    <w:rsid w:val="00D866E0"/>
    <w:rsid w:val="00D86A73"/>
    <w:rsid w:val="00D86B7C"/>
    <w:rsid w:val="00D86DE7"/>
    <w:rsid w:val="00D8708A"/>
    <w:rsid w:val="00D872F2"/>
    <w:rsid w:val="00D90359"/>
    <w:rsid w:val="00D908B9"/>
    <w:rsid w:val="00D909B0"/>
    <w:rsid w:val="00D90EE5"/>
    <w:rsid w:val="00D9103E"/>
    <w:rsid w:val="00D910B7"/>
    <w:rsid w:val="00D91D96"/>
    <w:rsid w:val="00D92000"/>
    <w:rsid w:val="00D9331C"/>
    <w:rsid w:val="00D933B3"/>
    <w:rsid w:val="00D93C1D"/>
    <w:rsid w:val="00D94B85"/>
    <w:rsid w:val="00D94C37"/>
    <w:rsid w:val="00D95A37"/>
    <w:rsid w:val="00D95E0F"/>
    <w:rsid w:val="00D95F4D"/>
    <w:rsid w:val="00D96B51"/>
    <w:rsid w:val="00D976E5"/>
    <w:rsid w:val="00D97C20"/>
    <w:rsid w:val="00D97E07"/>
    <w:rsid w:val="00DA03E0"/>
    <w:rsid w:val="00DA0860"/>
    <w:rsid w:val="00DA0C32"/>
    <w:rsid w:val="00DA12FA"/>
    <w:rsid w:val="00DA1BB9"/>
    <w:rsid w:val="00DA1D43"/>
    <w:rsid w:val="00DA28B9"/>
    <w:rsid w:val="00DA291F"/>
    <w:rsid w:val="00DA2E39"/>
    <w:rsid w:val="00DA2F76"/>
    <w:rsid w:val="00DA315A"/>
    <w:rsid w:val="00DA3585"/>
    <w:rsid w:val="00DA4192"/>
    <w:rsid w:val="00DA4A97"/>
    <w:rsid w:val="00DA4EF4"/>
    <w:rsid w:val="00DA6BFC"/>
    <w:rsid w:val="00DA6D48"/>
    <w:rsid w:val="00DA7217"/>
    <w:rsid w:val="00DA77D9"/>
    <w:rsid w:val="00DA7926"/>
    <w:rsid w:val="00DA7949"/>
    <w:rsid w:val="00DA79F4"/>
    <w:rsid w:val="00DA7D3D"/>
    <w:rsid w:val="00DB0150"/>
    <w:rsid w:val="00DB0298"/>
    <w:rsid w:val="00DB0579"/>
    <w:rsid w:val="00DB05AB"/>
    <w:rsid w:val="00DB0F79"/>
    <w:rsid w:val="00DB137A"/>
    <w:rsid w:val="00DB13E9"/>
    <w:rsid w:val="00DB171C"/>
    <w:rsid w:val="00DB1C46"/>
    <w:rsid w:val="00DB2148"/>
    <w:rsid w:val="00DB2368"/>
    <w:rsid w:val="00DB24A9"/>
    <w:rsid w:val="00DB2700"/>
    <w:rsid w:val="00DB292C"/>
    <w:rsid w:val="00DB31AE"/>
    <w:rsid w:val="00DB349D"/>
    <w:rsid w:val="00DB37BE"/>
    <w:rsid w:val="00DB404A"/>
    <w:rsid w:val="00DB470A"/>
    <w:rsid w:val="00DB4BBF"/>
    <w:rsid w:val="00DB549F"/>
    <w:rsid w:val="00DB5693"/>
    <w:rsid w:val="00DB5705"/>
    <w:rsid w:val="00DB571B"/>
    <w:rsid w:val="00DB57AB"/>
    <w:rsid w:val="00DB5858"/>
    <w:rsid w:val="00DB5BC8"/>
    <w:rsid w:val="00DB62A1"/>
    <w:rsid w:val="00DB65BC"/>
    <w:rsid w:val="00DB7335"/>
    <w:rsid w:val="00DB737B"/>
    <w:rsid w:val="00DB77F7"/>
    <w:rsid w:val="00DB7901"/>
    <w:rsid w:val="00DB7A59"/>
    <w:rsid w:val="00DB7FAB"/>
    <w:rsid w:val="00DB9F5A"/>
    <w:rsid w:val="00DC062A"/>
    <w:rsid w:val="00DC0AC4"/>
    <w:rsid w:val="00DC1227"/>
    <w:rsid w:val="00DC143C"/>
    <w:rsid w:val="00DC1483"/>
    <w:rsid w:val="00DC1610"/>
    <w:rsid w:val="00DC1E0D"/>
    <w:rsid w:val="00DC2372"/>
    <w:rsid w:val="00DC26F8"/>
    <w:rsid w:val="00DC3212"/>
    <w:rsid w:val="00DC391F"/>
    <w:rsid w:val="00DC3C8C"/>
    <w:rsid w:val="00DC3DEB"/>
    <w:rsid w:val="00DC414E"/>
    <w:rsid w:val="00DC4496"/>
    <w:rsid w:val="00DC4617"/>
    <w:rsid w:val="00DC477B"/>
    <w:rsid w:val="00DC47B1"/>
    <w:rsid w:val="00DC480D"/>
    <w:rsid w:val="00DC5290"/>
    <w:rsid w:val="00DC54EA"/>
    <w:rsid w:val="00DC5765"/>
    <w:rsid w:val="00DC6541"/>
    <w:rsid w:val="00DC687A"/>
    <w:rsid w:val="00DC68C6"/>
    <w:rsid w:val="00DC6C50"/>
    <w:rsid w:val="00DC6C56"/>
    <w:rsid w:val="00DC6EC3"/>
    <w:rsid w:val="00DC75A9"/>
    <w:rsid w:val="00DC7798"/>
    <w:rsid w:val="00DC79B3"/>
    <w:rsid w:val="00DC7D46"/>
    <w:rsid w:val="00DC7EB7"/>
    <w:rsid w:val="00DC7ECF"/>
    <w:rsid w:val="00DD036A"/>
    <w:rsid w:val="00DD0A47"/>
    <w:rsid w:val="00DD0B59"/>
    <w:rsid w:val="00DD11B9"/>
    <w:rsid w:val="00DD1350"/>
    <w:rsid w:val="00DD1679"/>
    <w:rsid w:val="00DD1961"/>
    <w:rsid w:val="00DD1FE2"/>
    <w:rsid w:val="00DD25DD"/>
    <w:rsid w:val="00DD2ADF"/>
    <w:rsid w:val="00DD30A3"/>
    <w:rsid w:val="00DD38D4"/>
    <w:rsid w:val="00DD3AD9"/>
    <w:rsid w:val="00DD4C89"/>
    <w:rsid w:val="00DD5EF5"/>
    <w:rsid w:val="00DD5FE9"/>
    <w:rsid w:val="00DD611A"/>
    <w:rsid w:val="00DD7192"/>
    <w:rsid w:val="00DD722E"/>
    <w:rsid w:val="00DD7B45"/>
    <w:rsid w:val="00DD7FBC"/>
    <w:rsid w:val="00DE04FC"/>
    <w:rsid w:val="00DE0C51"/>
    <w:rsid w:val="00DE1120"/>
    <w:rsid w:val="00DE15EF"/>
    <w:rsid w:val="00DE16C5"/>
    <w:rsid w:val="00DE1956"/>
    <w:rsid w:val="00DE1A36"/>
    <w:rsid w:val="00DE22F8"/>
    <w:rsid w:val="00DE24E5"/>
    <w:rsid w:val="00DE2900"/>
    <w:rsid w:val="00DE3BC0"/>
    <w:rsid w:val="00DE3C03"/>
    <w:rsid w:val="00DE5319"/>
    <w:rsid w:val="00DE5B79"/>
    <w:rsid w:val="00DE5B84"/>
    <w:rsid w:val="00DE640B"/>
    <w:rsid w:val="00DE7664"/>
    <w:rsid w:val="00DE777A"/>
    <w:rsid w:val="00DE77E1"/>
    <w:rsid w:val="00DE7987"/>
    <w:rsid w:val="00DE872B"/>
    <w:rsid w:val="00DF02B4"/>
    <w:rsid w:val="00DF0399"/>
    <w:rsid w:val="00DF0B41"/>
    <w:rsid w:val="00DF10B6"/>
    <w:rsid w:val="00DF1CA7"/>
    <w:rsid w:val="00DF257B"/>
    <w:rsid w:val="00DF27A1"/>
    <w:rsid w:val="00DF3146"/>
    <w:rsid w:val="00DF362D"/>
    <w:rsid w:val="00DF417E"/>
    <w:rsid w:val="00DF47B6"/>
    <w:rsid w:val="00DF4A73"/>
    <w:rsid w:val="00DF558F"/>
    <w:rsid w:val="00DF56D7"/>
    <w:rsid w:val="00DF5CAD"/>
    <w:rsid w:val="00DF681C"/>
    <w:rsid w:val="00DF6C98"/>
    <w:rsid w:val="00E002FC"/>
    <w:rsid w:val="00E00A80"/>
    <w:rsid w:val="00E00AF8"/>
    <w:rsid w:val="00E00B3B"/>
    <w:rsid w:val="00E01283"/>
    <w:rsid w:val="00E01393"/>
    <w:rsid w:val="00E01406"/>
    <w:rsid w:val="00E01FF2"/>
    <w:rsid w:val="00E024CD"/>
    <w:rsid w:val="00E02D07"/>
    <w:rsid w:val="00E0327B"/>
    <w:rsid w:val="00E0370B"/>
    <w:rsid w:val="00E0381D"/>
    <w:rsid w:val="00E03FCC"/>
    <w:rsid w:val="00E05158"/>
    <w:rsid w:val="00E05393"/>
    <w:rsid w:val="00E05471"/>
    <w:rsid w:val="00E054E9"/>
    <w:rsid w:val="00E0563D"/>
    <w:rsid w:val="00E05806"/>
    <w:rsid w:val="00E0588D"/>
    <w:rsid w:val="00E06B0E"/>
    <w:rsid w:val="00E07492"/>
    <w:rsid w:val="00E07602"/>
    <w:rsid w:val="00E07798"/>
    <w:rsid w:val="00E1079D"/>
    <w:rsid w:val="00E10E19"/>
    <w:rsid w:val="00E11126"/>
    <w:rsid w:val="00E12131"/>
    <w:rsid w:val="00E125FC"/>
    <w:rsid w:val="00E126AE"/>
    <w:rsid w:val="00E12818"/>
    <w:rsid w:val="00E12919"/>
    <w:rsid w:val="00E1293C"/>
    <w:rsid w:val="00E12ADF"/>
    <w:rsid w:val="00E12DA0"/>
    <w:rsid w:val="00E1440B"/>
    <w:rsid w:val="00E144C7"/>
    <w:rsid w:val="00E14F59"/>
    <w:rsid w:val="00E1517B"/>
    <w:rsid w:val="00E15322"/>
    <w:rsid w:val="00E15368"/>
    <w:rsid w:val="00E159C7"/>
    <w:rsid w:val="00E15CE3"/>
    <w:rsid w:val="00E160F5"/>
    <w:rsid w:val="00E162E8"/>
    <w:rsid w:val="00E16439"/>
    <w:rsid w:val="00E165D4"/>
    <w:rsid w:val="00E16935"/>
    <w:rsid w:val="00E16A26"/>
    <w:rsid w:val="00E16E74"/>
    <w:rsid w:val="00E17DBA"/>
    <w:rsid w:val="00E20375"/>
    <w:rsid w:val="00E20468"/>
    <w:rsid w:val="00E204C7"/>
    <w:rsid w:val="00E204FF"/>
    <w:rsid w:val="00E21048"/>
    <w:rsid w:val="00E211C8"/>
    <w:rsid w:val="00E216A7"/>
    <w:rsid w:val="00E21885"/>
    <w:rsid w:val="00E21EFB"/>
    <w:rsid w:val="00E21F72"/>
    <w:rsid w:val="00E22336"/>
    <w:rsid w:val="00E2262B"/>
    <w:rsid w:val="00E2298F"/>
    <w:rsid w:val="00E229D5"/>
    <w:rsid w:val="00E23BBE"/>
    <w:rsid w:val="00E23F74"/>
    <w:rsid w:val="00E23FDB"/>
    <w:rsid w:val="00E24460"/>
    <w:rsid w:val="00E24747"/>
    <w:rsid w:val="00E24A0A"/>
    <w:rsid w:val="00E24E8A"/>
    <w:rsid w:val="00E24EBE"/>
    <w:rsid w:val="00E2523E"/>
    <w:rsid w:val="00E255D5"/>
    <w:rsid w:val="00E25C4C"/>
    <w:rsid w:val="00E25CAA"/>
    <w:rsid w:val="00E25D7F"/>
    <w:rsid w:val="00E27097"/>
    <w:rsid w:val="00E2713B"/>
    <w:rsid w:val="00E30E52"/>
    <w:rsid w:val="00E313D8"/>
    <w:rsid w:val="00E31C3C"/>
    <w:rsid w:val="00E31C75"/>
    <w:rsid w:val="00E328F6"/>
    <w:rsid w:val="00E32A81"/>
    <w:rsid w:val="00E32B69"/>
    <w:rsid w:val="00E33537"/>
    <w:rsid w:val="00E33615"/>
    <w:rsid w:val="00E336E6"/>
    <w:rsid w:val="00E33772"/>
    <w:rsid w:val="00E33C46"/>
    <w:rsid w:val="00E33E04"/>
    <w:rsid w:val="00E344B2"/>
    <w:rsid w:val="00E3464E"/>
    <w:rsid w:val="00E346E3"/>
    <w:rsid w:val="00E3478F"/>
    <w:rsid w:val="00E351BE"/>
    <w:rsid w:val="00E353F8"/>
    <w:rsid w:val="00E354E6"/>
    <w:rsid w:val="00E3566B"/>
    <w:rsid w:val="00E3574A"/>
    <w:rsid w:val="00E35878"/>
    <w:rsid w:val="00E35A4A"/>
    <w:rsid w:val="00E35A6B"/>
    <w:rsid w:val="00E35A8B"/>
    <w:rsid w:val="00E360A2"/>
    <w:rsid w:val="00E360FC"/>
    <w:rsid w:val="00E36494"/>
    <w:rsid w:val="00E3680F"/>
    <w:rsid w:val="00E36992"/>
    <w:rsid w:val="00E369F7"/>
    <w:rsid w:val="00E37539"/>
    <w:rsid w:val="00E37E44"/>
    <w:rsid w:val="00E37EA5"/>
    <w:rsid w:val="00E40C19"/>
    <w:rsid w:val="00E40F9D"/>
    <w:rsid w:val="00E41094"/>
    <w:rsid w:val="00E412A7"/>
    <w:rsid w:val="00E417ED"/>
    <w:rsid w:val="00E41B48"/>
    <w:rsid w:val="00E41BA9"/>
    <w:rsid w:val="00E41C39"/>
    <w:rsid w:val="00E41D46"/>
    <w:rsid w:val="00E41DE3"/>
    <w:rsid w:val="00E41F0B"/>
    <w:rsid w:val="00E42A54"/>
    <w:rsid w:val="00E42B8D"/>
    <w:rsid w:val="00E42C3A"/>
    <w:rsid w:val="00E42C5F"/>
    <w:rsid w:val="00E42F6F"/>
    <w:rsid w:val="00E431CB"/>
    <w:rsid w:val="00E43615"/>
    <w:rsid w:val="00E43B05"/>
    <w:rsid w:val="00E43C11"/>
    <w:rsid w:val="00E44347"/>
    <w:rsid w:val="00E4436B"/>
    <w:rsid w:val="00E44669"/>
    <w:rsid w:val="00E449B3"/>
    <w:rsid w:val="00E44E21"/>
    <w:rsid w:val="00E44E75"/>
    <w:rsid w:val="00E44F28"/>
    <w:rsid w:val="00E45201"/>
    <w:rsid w:val="00E456FB"/>
    <w:rsid w:val="00E45E27"/>
    <w:rsid w:val="00E45F6B"/>
    <w:rsid w:val="00E4629D"/>
    <w:rsid w:val="00E463D5"/>
    <w:rsid w:val="00E46898"/>
    <w:rsid w:val="00E468C4"/>
    <w:rsid w:val="00E479DB"/>
    <w:rsid w:val="00E47CB8"/>
    <w:rsid w:val="00E47D86"/>
    <w:rsid w:val="00E5171F"/>
    <w:rsid w:val="00E51A8A"/>
    <w:rsid w:val="00E521D4"/>
    <w:rsid w:val="00E530CF"/>
    <w:rsid w:val="00E53A88"/>
    <w:rsid w:val="00E53C9E"/>
    <w:rsid w:val="00E54595"/>
    <w:rsid w:val="00E54940"/>
    <w:rsid w:val="00E54AFC"/>
    <w:rsid w:val="00E54B5D"/>
    <w:rsid w:val="00E5539D"/>
    <w:rsid w:val="00E55543"/>
    <w:rsid w:val="00E55AF2"/>
    <w:rsid w:val="00E55E60"/>
    <w:rsid w:val="00E56180"/>
    <w:rsid w:val="00E561C6"/>
    <w:rsid w:val="00E57509"/>
    <w:rsid w:val="00E57773"/>
    <w:rsid w:val="00E5779C"/>
    <w:rsid w:val="00E57DB2"/>
    <w:rsid w:val="00E57DBD"/>
    <w:rsid w:val="00E57EDF"/>
    <w:rsid w:val="00E606E5"/>
    <w:rsid w:val="00E60CCF"/>
    <w:rsid w:val="00E61041"/>
    <w:rsid w:val="00E61306"/>
    <w:rsid w:val="00E61329"/>
    <w:rsid w:val="00E613E0"/>
    <w:rsid w:val="00E61464"/>
    <w:rsid w:val="00E61B5F"/>
    <w:rsid w:val="00E61F7D"/>
    <w:rsid w:val="00E62F5E"/>
    <w:rsid w:val="00E6319B"/>
    <w:rsid w:val="00E637CD"/>
    <w:rsid w:val="00E63B0B"/>
    <w:rsid w:val="00E63CF9"/>
    <w:rsid w:val="00E64253"/>
    <w:rsid w:val="00E647FF"/>
    <w:rsid w:val="00E654B3"/>
    <w:rsid w:val="00E655AA"/>
    <w:rsid w:val="00E6579D"/>
    <w:rsid w:val="00E660ED"/>
    <w:rsid w:val="00E66410"/>
    <w:rsid w:val="00E66524"/>
    <w:rsid w:val="00E6662A"/>
    <w:rsid w:val="00E66845"/>
    <w:rsid w:val="00E67097"/>
    <w:rsid w:val="00E678A7"/>
    <w:rsid w:val="00E6EC7D"/>
    <w:rsid w:val="00E70157"/>
    <w:rsid w:val="00E7049F"/>
    <w:rsid w:val="00E70D6D"/>
    <w:rsid w:val="00E7120A"/>
    <w:rsid w:val="00E7140D"/>
    <w:rsid w:val="00E71C5B"/>
    <w:rsid w:val="00E71D28"/>
    <w:rsid w:val="00E72B30"/>
    <w:rsid w:val="00E74329"/>
    <w:rsid w:val="00E747A9"/>
    <w:rsid w:val="00E74917"/>
    <w:rsid w:val="00E74A40"/>
    <w:rsid w:val="00E74A97"/>
    <w:rsid w:val="00E75346"/>
    <w:rsid w:val="00E75541"/>
    <w:rsid w:val="00E76169"/>
    <w:rsid w:val="00E77256"/>
    <w:rsid w:val="00E77375"/>
    <w:rsid w:val="00E77AFA"/>
    <w:rsid w:val="00E8036E"/>
    <w:rsid w:val="00E80614"/>
    <w:rsid w:val="00E80C36"/>
    <w:rsid w:val="00E80FAD"/>
    <w:rsid w:val="00E81474"/>
    <w:rsid w:val="00E826E5"/>
    <w:rsid w:val="00E82822"/>
    <w:rsid w:val="00E82B45"/>
    <w:rsid w:val="00E832D4"/>
    <w:rsid w:val="00E8371E"/>
    <w:rsid w:val="00E838A3"/>
    <w:rsid w:val="00E84651"/>
    <w:rsid w:val="00E84A31"/>
    <w:rsid w:val="00E84A58"/>
    <w:rsid w:val="00E84C13"/>
    <w:rsid w:val="00E85126"/>
    <w:rsid w:val="00E85196"/>
    <w:rsid w:val="00E85A3E"/>
    <w:rsid w:val="00E85E10"/>
    <w:rsid w:val="00E860B0"/>
    <w:rsid w:val="00E8623D"/>
    <w:rsid w:val="00E86277"/>
    <w:rsid w:val="00E865C7"/>
    <w:rsid w:val="00E86AE7"/>
    <w:rsid w:val="00E876F1"/>
    <w:rsid w:val="00E87B45"/>
    <w:rsid w:val="00E90A78"/>
    <w:rsid w:val="00E90B4A"/>
    <w:rsid w:val="00E90CA7"/>
    <w:rsid w:val="00E910AF"/>
    <w:rsid w:val="00E9136D"/>
    <w:rsid w:val="00E91398"/>
    <w:rsid w:val="00E91BD4"/>
    <w:rsid w:val="00E91EC2"/>
    <w:rsid w:val="00E91F21"/>
    <w:rsid w:val="00E91F22"/>
    <w:rsid w:val="00E92B07"/>
    <w:rsid w:val="00E92C11"/>
    <w:rsid w:val="00E93B9D"/>
    <w:rsid w:val="00E93F30"/>
    <w:rsid w:val="00E94215"/>
    <w:rsid w:val="00E94244"/>
    <w:rsid w:val="00E948BE"/>
    <w:rsid w:val="00E94975"/>
    <w:rsid w:val="00E94BE1"/>
    <w:rsid w:val="00E94EE8"/>
    <w:rsid w:val="00E9580A"/>
    <w:rsid w:val="00E95B41"/>
    <w:rsid w:val="00E95BBB"/>
    <w:rsid w:val="00E965B5"/>
    <w:rsid w:val="00E969F4"/>
    <w:rsid w:val="00E96A12"/>
    <w:rsid w:val="00E96E73"/>
    <w:rsid w:val="00E96F57"/>
    <w:rsid w:val="00E973E9"/>
    <w:rsid w:val="00E97E84"/>
    <w:rsid w:val="00E97EC5"/>
    <w:rsid w:val="00EA00AF"/>
    <w:rsid w:val="00EA0362"/>
    <w:rsid w:val="00EA066B"/>
    <w:rsid w:val="00EA0DC2"/>
    <w:rsid w:val="00EA1438"/>
    <w:rsid w:val="00EA151B"/>
    <w:rsid w:val="00EA180E"/>
    <w:rsid w:val="00EA28A2"/>
    <w:rsid w:val="00EA2D13"/>
    <w:rsid w:val="00EA3036"/>
    <w:rsid w:val="00EA3574"/>
    <w:rsid w:val="00EA38A3"/>
    <w:rsid w:val="00EA3F6A"/>
    <w:rsid w:val="00EA3FDC"/>
    <w:rsid w:val="00EA43C1"/>
    <w:rsid w:val="00EA4CB7"/>
    <w:rsid w:val="00EA4FD6"/>
    <w:rsid w:val="00EA50C1"/>
    <w:rsid w:val="00EA525A"/>
    <w:rsid w:val="00EA5375"/>
    <w:rsid w:val="00EA54A0"/>
    <w:rsid w:val="00EA5674"/>
    <w:rsid w:val="00EA59C2"/>
    <w:rsid w:val="00EA5DD6"/>
    <w:rsid w:val="00EA62D3"/>
    <w:rsid w:val="00EA6332"/>
    <w:rsid w:val="00EA6397"/>
    <w:rsid w:val="00EA66BE"/>
    <w:rsid w:val="00EA69F6"/>
    <w:rsid w:val="00EA6C73"/>
    <w:rsid w:val="00EA6CEC"/>
    <w:rsid w:val="00EA6DAE"/>
    <w:rsid w:val="00EA7A47"/>
    <w:rsid w:val="00EB0B9F"/>
    <w:rsid w:val="00EB1236"/>
    <w:rsid w:val="00EB13EA"/>
    <w:rsid w:val="00EB1F8E"/>
    <w:rsid w:val="00EB2322"/>
    <w:rsid w:val="00EB2355"/>
    <w:rsid w:val="00EB26CC"/>
    <w:rsid w:val="00EB27B4"/>
    <w:rsid w:val="00EB2C03"/>
    <w:rsid w:val="00EB2D00"/>
    <w:rsid w:val="00EB2F97"/>
    <w:rsid w:val="00EB33F4"/>
    <w:rsid w:val="00EB383E"/>
    <w:rsid w:val="00EB3A1C"/>
    <w:rsid w:val="00EB3FC7"/>
    <w:rsid w:val="00EB43D8"/>
    <w:rsid w:val="00EB4C1E"/>
    <w:rsid w:val="00EB4D21"/>
    <w:rsid w:val="00EB4D81"/>
    <w:rsid w:val="00EB61E7"/>
    <w:rsid w:val="00EB652F"/>
    <w:rsid w:val="00EB6AE8"/>
    <w:rsid w:val="00EB6C91"/>
    <w:rsid w:val="00EB6F2F"/>
    <w:rsid w:val="00EB701D"/>
    <w:rsid w:val="00EB7604"/>
    <w:rsid w:val="00EB77B6"/>
    <w:rsid w:val="00EB78BF"/>
    <w:rsid w:val="00EB7A44"/>
    <w:rsid w:val="00EC035F"/>
    <w:rsid w:val="00EC04CE"/>
    <w:rsid w:val="00EC0582"/>
    <w:rsid w:val="00EC0745"/>
    <w:rsid w:val="00EC0C32"/>
    <w:rsid w:val="00EC0D5E"/>
    <w:rsid w:val="00EC289E"/>
    <w:rsid w:val="00EC2DEB"/>
    <w:rsid w:val="00EC3967"/>
    <w:rsid w:val="00EC3A59"/>
    <w:rsid w:val="00EC4D86"/>
    <w:rsid w:val="00EC4DCB"/>
    <w:rsid w:val="00EC5305"/>
    <w:rsid w:val="00EC5CB4"/>
    <w:rsid w:val="00EC688C"/>
    <w:rsid w:val="00EC6F56"/>
    <w:rsid w:val="00EC70CD"/>
    <w:rsid w:val="00EC70DF"/>
    <w:rsid w:val="00EC7815"/>
    <w:rsid w:val="00EC7839"/>
    <w:rsid w:val="00ED0D3A"/>
    <w:rsid w:val="00ED0DAE"/>
    <w:rsid w:val="00ED0E99"/>
    <w:rsid w:val="00ED11C5"/>
    <w:rsid w:val="00ED1242"/>
    <w:rsid w:val="00ED12DD"/>
    <w:rsid w:val="00ED1628"/>
    <w:rsid w:val="00ED1A34"/>
    <w:rsid w:val="00ED1DFE"/>
    <w:rsid w:val="00ED231E"/>
    <w:rsid w:val="00ED2A58"/>
    <w:rsid w:val="00ED3151"/>
    <w:rsid w:val="00ED32A6"/>
    <w:rsid w:val="00ED3718"/>
    <w:rsid w:val="00ED3C5B"/>
    <w:rsid w:val="00ED3D9B"/>
    <w:rsid w:val="00ED3E87"/>
    <w:rsid w:val="00ED4B27"/>
    <w:rsid w:val="00ED4B87"/>
    <w:rsid w:val="00ED4FA4"/>
    <w:rsid w:val="00ED50D5"/>
    <w:rsid w:val="00ED56CB"/>
    <w:rsid w:val="00ED58D4"/>
    <w:rsid w:val="00ED6258"/>
    <w:rsid w:val="00ED6BC0"/>
    <w:rsid w:val="00ED70AC"/>
    <w:rsid w:val="00ED73EA"/>
    <w:rsid w:val="00ED77AA"/>
    <w:rsid w:val="00ED7837"/>
    <w:rsid w:val="00ED79D2"/>
    <w:rsid w:val="00EE040B"/>
    <w:rsid w:val="00EE0684"/>
    <w:rsid w:val="00EE0BD2"/>
    <w:rsid w:val="00EE10A4"/>
    <w:rsid w:val="00EE1249"/>
    <w:rsid w:val="00EE1342"/>
    <w:rsid w:val="00EE14ED"/>
    <w:rsid w:val="00EE20C1"/>
    <w:rsid w:val="00EE258F"/>
    <w:rsid w:val="00EE2F85"/>
    <w:rsid w:val="00EE3779"/>
    <w:rsid w:val="00EE38CE"/>
    <w:rsid w:val="00EE3A2A"/>
    <w:rsid w:val="00EE3DBC"/>
    <w:rsid w:val="00EE3ECD"/>
    <w:rsid w:val="00EE452E"/>
    <w:rsid w:val="00EE4A85"/>
    <w:rsid w:val="00EE5055"/>
    <w:rsid w:val="00EE53AE"/>
    <w:rsid w:val="00EE56EB"/>
    <w:rsid w:val="00EE5DD7"/>
    <w:rsid w:val="00EE6110"/>
    <w:rsid w:val="00EE658E"/>
    <w:rsid w:val="00EE6DAC"/>
    <w:rsid w:val="00EE73F6"/>
    <w:rsid w:val="00EE7498"/>
    <w:rsid w:val="00EE7530"/>
    <w:rsid w:val="00EE76C9"/>
    <w:rsid w:val="00EE787D"/>
    <w:rsid w:val="00EE7957"/>
    <w:rsid w:val="00EF08E1"/>
    <w:rsid w:val="00EF0980"/>
    <w:rsid w:val="00EF0BDD"/>
    <w:rsid w:val="00EF0D67"/>
    <w:rsid w:val="00EF10F8"/>
    <w:rsid w:val="00EF141B"/>
    <w:rsid w:val="00EF1484"/>
    <w:rsid w:val="00EF15DB"/>
    <w:rsid w:val="00EF1E46"/>
    <w:rsid w:val="00EF2674"/>
    <w:rsid w:val="00EF2718"/>
    <w:rsid w:val="00EF27BB"/>
    <w:rsid w:val="00EF295E"/>
    <w:rsid w:val="00EF3954"/>
    <w:rsid w:val="00EF3AC1"/>
    <w:rsid w:val="00EF3C33"/>
    <w:rsid w:val="00EF3F0A"/>
    <w:rsid w:val="00EF416E"/>
    <w:rsid w:val="00EF45BE"/>
    <w:rsid w:val="00EF4F5E"/>
    <w:rsid w:val="00EF4FA7"/>
    <w:rsid w:val="00EF51AA"/>
    <w:rsid w:val="00EF51FE"/>
    <w:rsid w:val="00EF56DC"/>
    <w:rsid w:val="00EF56FD"/>
    <w:rsid w:val="00EF5902"/>
    <w:rsid w:val="00EF5BE0"/>
    <w:rsid w:val="00EF601E"/>
    <w:rsid w:val="00EF65EA"/>
    <w:rsid w:val="00EF6BFC"/>
    <w:rsid w:val="00EF72C3"/>
    <w:rsid w:val="00EF77C9"/>
    <w:rsid w:val="00EF7B11"/>
    <w:rsid w:val="00EF7C9E"/>
    <w:rsid w:val="00EF7D7F"/>
    <w:rsid w:val="00EF7DC7"/>
    <w:rsid w:val="00F0068F"/>
    <w:rsid w:val="00F00690"/>
    <w:rsid w:val="00F007E2"/>
    <w:rsid w:val="00F009EE"/>
    <w:rsid w:val="00F01CD2"/>
    <w:rsid w:val="00F01E1E"/>
    <w:rsid w:val="00F01F9C"/>
    <w:rsid w:val="00F02793"/>
    <w:rsid w:val="00F02BB7"/>
    <w:rsid w:val="00F035C7"/>
    <w:rsid w:val="00F04A6D"/>
    <w:rsid w:val="00F05440"/>
    <w:rsid w:val="00F05509"/>
    <w:rsid w:val="00F05740"/>
    <w:rsid w:val="00F06206"/>
    <w:rsid w:val="00F06A4D"/>
    <w:rsid w:val="00F06AEB"/>
    <w:rsid w:val="00F06C6A"/>
    <w:rsid w:val="00F06EEA"/>
    <w:rsid w:val="00F077B1"/>
    <w:rsid w:val="00F0799E"/>
    <w:rsid w:val="00F07A98"/>
    <w:rsid w:val="00F0C33C"/>
    <w:rsid w:val="00F104A4"/>
    <w:rsid w:val="00F10573"/>
    <w:rsid w:val="00F109D7"/>
    <w:rsid w:val="00F11296"/>
    <w:rsid w:val="00F113A5"/>
    <w:rsid w:val="00F11786"/>
    <w:rsid w:val="00F117EA"/>
    <w:rsid w:val="00F118BB"/>
    <w:rsid w:val="00F11907"/>
    <w:rsid w:val="00F11D09"/>
    <w:rsid w:val="00F11D1F"/>
    <w:rsid w:val="00F120EC"/>
    <w:rsid w:val="00F129EC"/>
    <w:rsid w:val="00F12BB3"/>
    <w:rsid w:val="00F12FA2"/>
    <w:rsid w:val="00F13034"/>
    <w:rsid w:val="00F13224"/>
    <w:rsid w:val="00F1343E"/>
    <w:rsid w:val="00F13CB9"/>
    <w:rsid w:val="00F13E4E"/>
    <w:rsid w:val="00F14119"/>
    <w:rsid w:val="00F145B7"/>
    <w:rsid w:val="00F14E60"/>
    <w:rsid w:val="00F160B2"/>
    <w:rsid w:val="00F160C3"/>
    <w:rsid w:val="00F161E8"/>
    <w:rsid w:val="00F16CD3"/>
    <w:rsid w:val="00F16D17"/>
    <w:rsid w:val="00F16E79"/>
    <w:rsid w:val="00F16F57"/>
    <w:rsid w:val="00F1734A"/>
    <w:rsid w:val="00F174FD"/>
    <w:rsid w:val="00F17651"/>
    <w:rsid w:val="00F203AE"/>
    <w:rsid w:val="00F204EF"/>
    <w:rsid w:val="00F20892"/>
    <w:rsid w:val="00F22947"/>
    <w:rsid w:val="00F22B18"/>
    <w:rsid w:val="00F22D30"/>
    <w:rsid w:val="00F22D6A"/>
    <w:rsid w:val="00F22F97"/>
    <w:rsid w:val="00F23AC7"/>
    <w:rsid w:val="00F23BE1"/>
    <w:rsid w:val="00F24F66"/>
    <w:rsid w:val="00F25838"/>
    <w:rsid w:val="00F258B1"/>
    <w:rsid w:val="00F2696D"/>
    <w:rsid w:val="00F26B44"/>
    <w:rsid w:val="00F27B6B"/>
    <w:rsid w:val="00F30091"/>
    <w:rsid w:val="00F30545"/>
    <w:rsid w:val="00F30663"/>
    <w:rsid w:val="00F30A9D"/>
    <w:rsid w:val="00F30BC1"/>
    <w:rsid w:val="00F313AE"/>
    <w:rsid w:val="00F316EB"/>
    <w:rsid w:val="00F31C7E"/>
    <w:rsid w:val="00F31E9E"/>
    <w:rsid w:val="00F322A5"/>
    <w:rsid w:val="00F3263D"/>
    <w:rsid w:val="00F32C7C"/>
    <w:rsid w:val="00F32E06"/>
    <w:rsid w:val="00F33BE6"/>
    <w:rsid w:val="00F33DDB"/>
    <w:rsid w:val="00F342E3"/>
    <w:rsid w:val="00F3492F"/>
    <w:rsid w:val="00F34C2F"/>
    <w:rsid w:val="00F358E7"/>
    <w:rsid w:val="00F35A8D"/>
    <w:rsid w:val="00F36798"/>
    <w:rsid w:val="00F36A22"/>
    <w:rsid w:val="00F36B01"/>
    <w:rsid w:val="00F36E35"/>
    <w:rsid w:val="00F3745B"/>
    <w:rsid w:val="00F37659"/>
    <w:rsid w:val="00F37881"/>
    <w:rsid w:val="00F37911"/>
    <w:rsid w:val="00F404E8"/>
    <w:rsid w:val="00F409F0"/>
    <w:rsid w:val="00F409FA"/>
    <w:rsid w:val="00F4132D"/>
    <w:rsid w:val="00F414C3"/>
    <w:rsid w:val="00F419AC"/>
    <w:rsid w:val="00F42058"/>
    <w:rsid w:val="00F4239D"/>
    <w:rsid w:val="00F425A3"/>
    <w:rsid w:val="00F42C8D"/>
    <w:rsid w:val="00F42CC7"/>
    <w:rsid w:val="00F42FD9"/>
    <w:rsid w:val="00F43037"/>
    <w:rsid w:val="00F43836"/>
    <w:rsid w:val="00F438AF"/>
    <w:rsid w:val="00F43B08"/>
    <w:rsid w:val="00F43BA8"/>
    <w:rsid w:val="00F43D46"/>
    <w:rsid w:val="00F43DCE"/>
    <w:rsid w:val="00F4420B"/>
    <w:rsid w:val="00F44D86"/>
    <w:rsid w:val="00F4508C"/>
    <w:rsid w:val="00F457A0"/>
    <w:rsid w:val="00F45917"/>
    <w:rsid w:val="00F466F0"/>
    <w:rsid w:val="00F46A89"/>
    <w:rsid w:val="00F471F7"/>
    <w:rsid w:val="00F47276"/>
    <w:rsid w:val="00F475B6"/>
    <w:rsid w:val="00F47D11"/>
    <w:rsid w:val="00F50118"/>
    <w:rsid w:val="00F5014A"/>
    <w:rsid w:val="00F501C9"/>
    <w:rsid w:val="00F50B30"/>
    <w:rsid w:val="00F50E38"/>
    <w:rsid w:val="00F50F4B"/>
    <w:rsid w:val="00F50F75"/>
    <w:rsid w:val="00F511EA"/>
    <w:rsid w:val="00F5167F"/>
    <w:rsid w:val="00F51761"/>
    <w:rsid w:val="00F518E8"/>
    <w:rsid w:val="00F5196D"/>
    <w:rsid w:val="00F51A36"/>
    <w:rsid w:val="00F51B59"/>
    <w:rsid w:val="00F51B6E"/>
    <w:rsid w:val="00F5207E"/>
    <w:rsid w:val="00F52367"/>
    <w:rsid w:val="00F526A1"/>
    <w:rsid w:val="00F5272B"/>
    <w:rsid w:val="00F52C98"/>
    <w:rsid w:val="00F53010"/>
    <w:rsid w:val="00F537BE"/>
    <w:rsid w:val="00F543AE"/>
    <w:rsid w:val="00F544FE"/>
    <w:rsid w:val="00F54A1B"/>
    <w:rsid w:val="00F54DD9"/>
    <w:rsid w:val="00F54FD9"/>
    <w:rsid w:val="00F55370"/>
    <w:rsid w:val="00F5569E"/>
    <w:rsid w:val="00F55D06"/>
    <w:rsid w:val="00F55E67"/>
    <w:rsid w:val="00F56161"/>
    <w:rsid w:val="00F5659C"/>
    <w:rsid w:val="00F56635"/>
    <w:rsid w:val="00F56725"/>
    <w:rsid w:val="00F5699C"/>
    <w:rsid w:val="00F56C76"/>
    <w:rsid w:val="00F56E42"/>
    <w:rsid w:val="00F5700C"/>
    <w:rsid w:val="00F574F8"/>
    <w:rsid w:val="00F5760C"/>
    <w:rsid w:val="00F57BC9"/>
    <w:rsid w:val="00F60605"/>
    <w:rsid w:val="00F6069C"/>
    <w:rsid w:val="00F60BF0"/>
    <w:rsid w:val="00F60D5B"/>
    <w:rsid w:val="00F615F8"/>
    <w:rsid w:val="00F61808"/>
    <w:rsid w:val="00F61A77"/>
    <w:rsid w:val="00F62569"/>
    <w:rsid w:val="00F627A4"/>
    <w:rsid w:val="00F62B16"/>
    <w:rsid w:val="00F62B85"/>
    <w:rsid w:val="00F62F2D"/>
    <w:rsid w:val="00F631BA"/>
    <w:rsid w:val="00F633F3"/>
    <w:rsid w:val="00F6393D"/>
    <w:rsid w:val="00F64E8D"/>
    <w:rsid w:val="00F65C33"/>
    <w:rsid w:val="00F65CE3"/>
    <w:rsid w:val="00F669F0"/>
    <w:rsid w:val="00F66BF9"/>
    <w:rsid w:val="00F66F8D"/>
    <w:rsid w:val="00F67329"/>
    <w:rsid w:val="00F703EB"/>
    <w:rsid w:val="00F70489"/>
    <w:rsid w:val="00F70AD2"/>
    <w:rsid w:val="00F70C3B"/>
    <w:rsid w:val="00F70E5D"/>
    <w:rsid w:val="00F715AE"/>
    <w:rsid w:val="00F71E89"/>
    <w:rsid w:val="00F720A7"/>
    <w:rsid w:val="00F721F3"/>
    <w:rsid w:val="00F7243B"/>
    <w:rsid w:val="00F72525"/>
    <w:rsid w:val="00F725B9"/>
    <w:rsid w:val="00F729FA"/>
    <w:rsid w:val="00F72B7F"/>
    <w:rsid w:val="00F72CC6"/>
    <w:rsid w:val="00F72D7E"/>
    <w:rsid w:val="00F73080"/>
    <w:rsid w:val="00F730BD"/>
    <w:rsid w:val="00F7348C"/>
    <w:rsid w:val="00F73B86"/>
    <w:rsid w:val="00F73CBE"/>
    <w:rsid w:val="00F73EA5"/>
    <w:rsid w:val="00F748B8"/>
    <w:rsid w:val="00F74FA8"/>
    <w:rsid w:val="00F7568F"/>
    <w:rsid w:val="00F75875"/>
    <w:rsid w:val="00F75E3A"/>
    <w:rsid w:val="00F75EA4"/>
    <w:rsid w:val="00F76A24"/>
    <w:rsid w:val="00F76FCB"/>
    <w:rsid w:val="00F77537"/>
    <w:rsid w:val="00F77BEE"/>
    <w:rsid w:val="00F77C02"/>
    <w:rsid w:val="00F77E08"/>
    <w:rsid w:val="00F80282"/>
    <w:rsid w:val="00F802E0"/>
    <w:rsid w:val="00F804E1"/>
    <w:rsid w:val="00F80F1A"/>
    <w:rsid w:val="00F812F5"/>
    <w:rsid w:val="00F81758"/>
    <w:rsid w:val="00F81760"/>
    <w:rsid w:val="00F8187E"/>
    <w:rsid w:val="00F81913"/>
    <w:rsid w:val="00F8221B"/>
    <w:rsid w:val="00F82929"/>
    <w:rsid w:val="00F83184"/>
    <w:rsid w:val="00F8388B"/>
    <w:rsid w:val="00F84018"/>
    <w:rsid w:val="00F841C9"/>
    <w:rsid w:val="00F84FDE"/>
    <w:rsid w:val="00F851A8"/>
    <w:rsid w:val="00F854B7"/>
    <w:rsid w:val="00F857AD"/>
    <w:rsid w:val="00F85ADA"/>
    <w:rsid w:val="00F85D9A"/>
    <w:rsid w:val="00F85F37"/>
    <w:rsid w:val="00F85FDB"/>
    <w:rsid w:val="00F86962"/>
    <w:rsid w:val="00F86A8D"/>
    <w:rsid w:val="00F87F77"/>
    <w:rsid w:val="00F90666"/>
    <w:rsid w:val="00F915B9"/>
    <w:rsid w:val="00F91611"/>
    <w:rsid w:val="00F92578"/>
    <w:rsid w:val="00F926D7"/>
    <w:rsid w:val="00F92FB6"/>
    <w:rsid w:val="00F93264"/>
    <w:rsid w:val="00F93416"/>
    <w:rsid w:val="00F9389E"/>
    <w:rsid w:val="00F93A71"/>
    <w:rsid w:val="00F93F80"/>
    <w:rsid w:val="00F9440A"/>
    <w:rsid w:val="00F94548"/>
    <w:rsid w:val="00F94EE5"/>
    <w:rsid w:val="00F94F82"/>
    <w:rsid w:val="00F958B3"/>
    <w:rsid w:val="00F95A64"/>
    <w:rsid w:val="00F961BD"/>
    <w:rsid w:val="00F96680"/>
    <w:rsid w:val="00F967F5"/>
    <w:rsid w:val="00F9688D"/>
    <w:rsid w:val="00F96A74"/>
    <w:rsid w:val="00F96FA0"/>
    <w:rsid w:val="00FA0674"/>
    <w:rsid w:val="00FA0793"/>
    <w:rsid w:val="00FA1313"/>
    <w:rsid w:val="00FA14B6"/>
    <w:rsid w:val="00FA16E7"/>
    <w:rsid w:val="00FA1C0B"/>
    <w:rsid w:val="00FA1D9D"/>
    <w:rsid w:val="00FA1DF7"/>
    <w:rsid w:val="00FA2AC7"/>
    <w:rsid w:val="00FA30E3"/>
    <w:rsid w:val="00FA3214"/>
    <w:rsid w:val="00FA3613"/>
    <w:rsid w:val="00FA3630"/>
    <w:rsid w:val="00FA3997"/>
    <w:rsid w:val="00FA5234"/>
    <w:rsid w:val="00FA577C"/>
    <w:rsid w:val="00FA5968"/>
    <w:rsid w:val="00FA6229"/>
    <w:rsid w:val="00FA6A3C"/>
    <w:rsid w:val="00FA6C02"/>
    <w:rsid w:val="00FA7132"/>
    <w:rsid w:val="00FA72C9"/>
    <w:rsid w:val="00FA7756"/>
    <w:rsid w:val="00FA7953"/>
    <w:rsid w:val="00FB016B"/>
    <w:rsid w:val="00FB0640"/>
    <w:rsid w:val="00FB0808"/>
    <w:rsid w:val="00FB0AC8"/>
    <w:rsid w:val="00FB0D86"/>
    <w:rsid w:val="00FB171E"/>
    <w:rsid w:val="00FB201C"/>
    <w:rsid w:val="00FB24FA"/>
    <w:rsid w:val="00FB2586"/>
    <w:rsid w:val="00FB3E7D"/>
    <w:rsid w:val="00FB4069"/>
    <w:rsid w:val="00FB41D8"/>
    <w:rsid w:val="00FB438B"/>
    <w:rsid w:val="00FB44DA"/>
    <w:rsid w:val="00FB4700"/>
    <w:rsid w:val="00FB486A"/>
    <w:rsid w:val="00FB4A8B"/>
    <w:rsid w:val="00FB4B13"/>
    <w:rsid w:val="00FB4B80"/>
    <w:rsid w:val="00FB4C2A"/>
    <w:rsid w:val="00FB526C"/>
    <w:rsid w:val="00FB5323"/>
    <w:rsid w:val="00FB6753"/>
    <w:rsid w:val="00FB6B1D"/>
    <w:rsid w:val="00FC0F8F"/>
    <w:rsid w:val="00FC13E9"/>
    <w:rsid w:val="00FC178F"/>
    <w:rsid w:val="00FC1D51"/>
    <w:rsid w:val="00FC1EA0"/>
    <w:rsid w:val="00FC29B1"/>
    <w:rsid w:val="00FC2C76"/>
    <w:rsid w:val="00FC2FB9"/>
    <w:rsid w:val="00FC45C2"/>
    <w:rsid w:val="00FC4759"/>
    <w:rsid w:val="00FC49A1"/>
    <w:rsid w:val="00FC49DA"/>
    <w:rsid w:val="00FC4B0B"/>
    <w:rsid w:val="00FC4DF2"/>
    <w:rsid w:val="00FC53BC"/>
    <w:rsid w:val="00FC552F"/>
    <w:rsid w:val="00FC555C"/>
    <w:rsid w:val="00FC5D07"/>
    <w:rsid w:val="00FC70A8"/>
    <w:rsid w:val="00FC7C91"/>
    <w:rsid w:val="00FD087E"/>
    <w:rsid w:val="00FD0C24"/>
    <w:rsid w:val="00FD0D7B"/>
    <w:rsid w:val="00FD1089"/>
    <w:rsid w:val="00FD12AA"/>
    <w:rsid w:val="00FD13EC"/>
    <w:rsid w:val="00FD2035"/>
    <w:rsid w:val="00FD22B8"/>
    <w:rsid w:val="00FD23A8"/>
    <w:rsid w:val="00FD241B"/>
    <w:rsid w:val="00FD24AD"/>
    <w:rsid w:val="00FD2BFB"/>
    <w:rsid w:val="00FD2D64"/>
    <w:rsid w:val="00FD2F3B"/>
    <w:rsid w:val="00FD3118"/>
    <w:rsid w:val="00FD31FF"/>
    <w:rsid w:val="00FD345B"/>
    <w:rsid w:val="00FD3852"/>
    <w:rsid w:val="00FD44DF"/>
    <w:rsid w:val="00FD4670"/>
    <w:rsid w:val="00FD4A1A"/>
    <w:rsid w:val="00FD4CDD"/>
    <w:rsid w:val="00FD4FE2"/>
    <w:rsid w:val="00FD5B53"/>
    <w:rsid w:val="00FD64E1"/>
    <w:rsid w:val="00FD668C"/>
    <w:rsid w:val="00FD6D59"/>
    <w:rsid w:val="00FD6E11"/>
    <w:rsid w:val="00FD6FA3"/>
    <w:rsid w:val="00FD6FF0"/>
    <w:rsid w:val="00FD7038"/>
    <w:rsid w:val="00FD71E4"/>
    <w:rsid w:val="00FD71FC"/>
    <w:rsid w:val="00FD7216"/>
    <w:rsid w:val="00FD793E"/>
    <w:rsid w:val="00FD7D43"/>
    <w:rsid w:val="00FD7FCD"/>
    <w:rsid w:val="00FE0469"/>
    <w:rsid w:val="00FE0731"/>
    <w:rsid w:val="00FE087E"/>
    <w:rsid w:val="00FE0A16"/>
    <w:rsid w:val="00FE0B3A"/>
    <w:rsid w:val="00FE114B"/>
    <w:rsid w:val="00FE1371"/>
    <w:rsid w:val="00FE1C19"/>
    <w:rsid w:val="00FE2078"/>
    <w:rsid w:val="00FE2109"/>
    <w:rsid w:val="00FE25D7"/>
    <w:rsid w:val="00FE2766"/>
    <w:rsid w:val="00FE2ACE"/>
    <w:rsid w:val="00FE2D67"/>
    <w:rsid w:val="00FE2E16"/>
    <w:rsid w:val="00FE3395"/>
    <w:rsid w:val="00FE3472"/>
    <w:rsid w:val="00FE354E"/>
    <w:rsid w:val="00FE356A"/>
    <w:rsid w:val="00FE3A2C"/>
    <w:rsid w:val="00FE3C1E"/>
    <w:rsid w:val="00FE3E71"/>
    <w:rsid w:val="00FE42B3"/>
    <w:rsid w:val="00FE4B29"/>
    <w:rsid w:val="00FE4C83"/>
    <w:rsid w:val="00FE5722"/>
    <w:rsid w:val="00FE5A53"/>
    <w:rsid w:val="00FE61CB"/>
    <w:rsid w:val="00FE63B2"/>
    <w:rsid w:val="00FE691B"/>
    <w:rsid w:val="00FE6AE0"/>
    <w:rsid w:val="00FE72D5"/>
    <w:rsid w:val="00FE7C1D"/>
    <w:rsid w:val="00FF01B4"/>
    <w:rsid w:val="00FF02EF"/>
    <w:rsid w:val="00FF118D"/>
    <w:rsid w:val="00FF1269"/>
    <w:rsid w:val="00FF12EC"/>
    <w:rsid w:val="00FF1504"/>
    <w:rsid w:val="00FF203D"/>
    <w:rsid w:val="00FF2EB9"/>
    <w:rsid w:val="00FF2F8C"/>
    <w:rsid w:val="00FF3563"/>
    <w:rsid w:val="00FF3A0E"/>
    <w:rsid w:val="00FF3A12"/>
    <w:rsid w:val="00FF3B51"/>
    <w:rsid w:val="00FF3BB4"/>
    <w:rsid w:val="00FF3D12"/>
    <w:rsid w:val="00FF463F"/>
    <w:rsid w:val="00FF5523"/>
    <w:rsid w:val="00FF5815"/>
    <w:rsid w:val="00FF63DE"/>
    <w:rsid w:val="00FF678C"/>
    <w:rsid w:val="00FF71A0"/>
    <w:rsid w:val="00FF777C"/>
    <w:rsid w:val="00FF7D4E"/>
    <w:rsid w:val="00FF7EF2"/>
    <w:rsid w:val="01011745"/>
    <w:rsid w:val="010A1FBC"/>
    <w:rsid w:val="0140E094"/>
    <w:rsid w:val="01459104"/>
    <w:rsid w:val="0151A3FE"/>
    <w:rsid w:val="01558BEE"/>
    <w:rsid w:val="017A124D"/>
    <w:rsid w:val="017CEED9"/>
    <w:rsid w:val="01AE8555"/>
    <w:rsid w:val="01B5B09B"/>
    <w:rsid w:val="01C7809C"/>
    <w:rsid w:val="01E663DB"/>
    <w:rsid w:val="01EAA2F8"/>
    <w:rsid w:val="01F32DB7"/>
    <w:rsid w:val="0230C54B"/>
    <w:rsid w:val="02434325"/>
    <w:rsid w:val="02662F50"/>
    <w:rsid w:val="026C6EB9"/>
    <w:rsid w:val="029DDEC6"/>
    <w:rsid w:val="02AFA98F"/>
    <w:rsid w:val="02DFA9D5"/>
    <w:rsid w:val="034B9FDD"/>
    <w:rsid w:val="0362B582"/>
    <w:rsid w:val="0372506A"/>
    <w:rsid w:val="0396CF18"/>
    <w:rsid w:val="03BA2D25"/>
    <w:rsid w:val="03BCA626"/>
    <w:rsid w:val="03CF4EE3"/>
    <w:rsid w:val="03D5C158"/>
    <w:rsid w:val="03E90767"/>
    <w:rsid w:val="03FFF4C3"/>
    <w:rsid w:val="0410FED1"/>
    <w:rsid w:val="04133BA4"/>
    <w:rsid w:val="044E1F1D"/>
    <w:rsid w:val="04565B5A"/>
    <w:rsid w:val="04814E1D"/>
    <w:rsid w:val="04B2168F"/>
    <w:rsid w:val="04BAE7A4"/>
    <w:rsid w:val="04F377AB"/>
    <w:rsid w:val="051F4429"/>
    <w:rsid w:val="0523A58F"/>
    <w:rsid w:val="055AAC02"/>
    <w:rsid w:val="057C90D5"/>
    <w:rsid w:val="057F5EDA"/>
    <w:rsid w:val="05840492"/>
    <w:rsid w:val="05AA92D6"/>
    <w:rsid w:val="05BCC894"/>
    <w:rsid w:val="05E2C5C9"/>
    <w:rsid w:val="05E9EF7E"/>
    <w:rsid w:val="06113CC6"/>
    <w:rsid w:val="0628DB78"/>
    <w:rsid w:val="06A39327"/>
    <w:rsid w:val="06C0CD6B"/>
    <w:rsid w:val="06DF957F"/>
    <w:rsid w:val="0702A868"/>
    <w:rsid w:val="0716D0DD"/>
    <w:rsid w:val="0731E756"/>
    <w:rsid w:val="075462CF"/>
    <w:rsid w:val="07560E7F"/>
    <w:rsid w:val="075649D4"/>
    <w:rsid w:val="079DEDB0"/>
    <w:rsid w:val="07A09F3F"/>
    <w:rsid w:val="07A37FC7"/>
    <w:rsid w:val="07BA51AA"/>
    <w:rsid w:val="07CAC576"/>
    <w:rsid w:val="07D14B1B"/>
    <w:rsid w:val="07D3C737"/>
    <w:rsid w:val="07F3A2F2"/>
    <w:rsid w:val="08552187"/>
    <w:rsid w:val="0857C7B3"/>
    <w:rsid w:val="086BFF12"/>
    <w:rsid w:val="08CCCBF3"/>
    <w:rsid w:val="08D15159"/>
    <w:rsid w:val="08E71EB9"/>
    <w:rsid w:val="090867E3"/>
    <w:rsid w:val="0910B0DE"/>
    <w:rsid w:val="09142ABB"/>
    <w:rsid w:val="095DE82C"/>
    <w:rsid w:val="098800BE"/>
    <w:rsid w:val="09B39F9D"/>
    <w:rsid w:val="09C1F3BA"/>
    <w:rsid w:val="09E2EEC5"/>
    <w:rsid w:val="09E9E665"/>
    <w:rsid w:val="09F0D524"/>
    <w:rsid w:val="09F60510"/>
    <w:rsid w:val="0A179D7C"/>
    <w:rsid w:val="0A1DA396"/>
    <w:rsid w:val="0A40F470"/>
    <w:rsid w:val="0A5EE1AD"/>
    <w:rsid w:val="0A72AF61"/>
    <w:rsid w:val="0A7C4AFF"/>
    <w:rsid w:val="0AD34AED"/>
    <w:rsid w:val="0AE7430B"/>
    <w:rsid w:val="0AEC734A"/>
    <w:rsid w:val="0B064F7D"/>
    <w:rsid w:val="0B0EF50A"/>
    <w:rsid w:val="0B23FD5C"/>
    <w:rsid w:val="0B4A9A5B"/>
    <w:rsid w:val="0B748242"/>
    <w:rsid w:val="0B7DE5E5"/>
    <w:rsid w:val="0B9DF2A2"/>
    <w:rsid w:val="0BA3DF49"/>
    <w:rsid w:val="0BBFAAE2"/>
    <w:rsid w:val="0BCE491B"/>
    <w:rsid w:val="0BDE0925"/>
    <w:rsid w:val="0BF3AF94"/>
    <w:rsid w:val="0C9463C4"/>
    <w:rsid w:val="0CFEBA34"/>
    <w:rsid w:val="0D035BDD"/>
    <w:rsid w:val="0D040045"/>
    <w:rsid w:val="0D151636"/>
    <w:rsid w:val="0D2F390B"/>
    <w:rsid w:val="0D6FCBC0"/>
    <w:rsid w:val="0D9D9D1F"/>
    <w:rsid w:val="0DAC62FD"/>
    <w:rsid w:val="0DD1EFDC"/>
    <w:rsid w:val="0DFD5ABB"/>
    <w:rsid w:val="0E21A5A9"/>
    <w:rsid w:val="0E571BC3"/>
    <w:rsid w:val="0E6DD9C9"/>
    <w:rsid w:val="0E7CC13D"/>
    <w:rsid w:val="0E82734C"/>
    <w:rsid w:val="0E973BF7"/>
    <w:rsid w:val="0ED4A9B1"/>
    <w:rsid w:val="0ED68178"/>
    <w:rsid w:val="0EE8B3FD"/>
    <w:rsid w:val="0EF10538"/>
    <w:rsid w:val="0F1B9063"/>
    <w:rsid w:val="0F94CB19"/>
    <w:rsid w:val="0FD34008"/>
    <w:rsid w:val="0FDA3217"/>
    <w:rsid w:val="100F22DF"/>
    <w:rsid w:val="10122719"/>
    <w:rsid w:val="103158FB"/>
    <w:rsid w:val="10B3A760"/>
    <w:rsid w:val="10CE8D6B"/>
    <w:rsid w:val="10D8F3A9"/>
    <w:rsid w:val="10E12891"/>
    <w:rsid w:val="11726CFA"/>
    <w:rsid w:val="11938E69"/>
    <w:rsid w:val="11ACCAE9"/>
    <w:rsid w:val="11B8DAD5"/>
    <w:rsid w:val="11D6DAA2"/>
    <w:rsid w:val="11F71322"/>
    <w:rsid w:val="11F73D55"/>
    <w:rsid w:val="1201B610"/>
    <w:rsid w:val="1205A7FE"/>
    <w:rsid w:val="123E8FB1"/>
    <w:rsid w:val="1249115A"/>
    <w:rsid w:val="124E2585"/>
    <w:rsid w:val="1279A30C"/>
    <w:rsid w:val="1285D448"/>
    <w:rsid w:val="12B79C41"/>
    <w:rsid w:val="12DDD8A1"/>
    <w:rsid w:val="13B3430C"/>
    <w:rsid w:val="13B7BDE0"/>
    <w:rsid w:val="13D8449A"/>
    <w:rsid w:val="13E46772"/>
    <w:rsid w:val="141768E1"/>
    <w:rsid w:val="1425C121"/>
    <w:rsid w:val="14432335"/>
    <w:rsid w:val="14687E05"/>
    <w:rsid w:val="148640FE"/>
    <w:rsid w:val="1490769D"/>
    <w:rsid w:val="14A1091C"/>
    <w:rsid w:val="14A91266"/>
    <w:rsid w:val="14C56E61"/>
    <w:rsid w:val="150A869B"/>
    <w:rsid w:val="150F7E14"/>
    <w:rsid w:val="15367005"/>
    <w:rsid w:val="154D9418"/>
    <w:rsid w:val="1577BBB5"/>
    <w:rsid w:val="15ADA00F"/>
    <w:rsid w:val="15BEFDA4"/>
    <w:rsid w:val="15C7A329"/>
    <w:rsid w:val="15D3A6FF"/>
    <w:rsid w:val="15EAB6F7"/>
    <w:rsid w:val="160097C2"/>
    <w:rsid w:val="165D82A9"/>
    <w:rsid w:val="16E3619E"/>
    <w:rsid w:val="170D79EB"/>
    <w:rsid w:val="171F70B2"/>
    <w:rsid w:val="171FE236"/>
    <w:rsid w:val="1781D920"/>
    <w:rsid w:val="179DDD8F"/>
    <w:rsid w:val="17B17D3F"/>
    <w:rsid w:val="17FA486B"/>
    <w:rsid w:val="18028064"/>
    <w:rsid w:val="1806D705"/>
    <w:rsid w:val="181573DE"/>
    <w:rsid w:val="1863CF3A"/>
    <w:rsid w:val="188B729E"/>
    <w:rsid w:val="18957144"/>
    <w:rsid w:val="18B56F37"/>
    <w:rsid w:val="18C0F5DE"/>
    <w:rsid w:val="18C4E56A"/>
    <w:rsid w:val="194B7347"/>
    <w:rsid w:val="195FC702"/>
    <w:rsid w:val="1968C73C"/>
    <w:rsid w:val="196DFEDD"/>
    <w:rsid w:val="19717656"/>
    <w:rsid w:val="1985D3B8"/>
    <w:rsid w:val="19B20F58"/>
    <w:rsid w:val="19B65A63"/>
    <w:rsid w:val="19BC8EBA"/>
    <w:rsid w:val="1A289455"/>
    <w:rsid w:val="1A317864"/>
    <w:rsid w:val="1A6F15DF"/>
    <w:rsid w:val="1A7F92E4"/>
    <w:rsid w:val="1AB5FC3C"/>
    <w:rsid w:val="1ABA7984"/>
    <w:rsid w:val="1AC97A0A"/>
    <w:rsid w:val="1ACE0C6C"/>
    <w:rsid w:val="1AEBCD81"/>
    <w:rsid w:val="1B0B9F6C"/>
    <w:rsid w:val="1B0E26F4"/>
    <w:rsid w:val="1B20E7DF"/>
    <w:rsid w:val="1B5D2EC9"/>
    <w:rsid w:val="1B70597B"/>
    <w:rsid w:val="1BA63435"/>
    <w:rsid w:val="1BBEA73C"/>
    <w:rsid w:val="1BF272DF"/>
    <w:rsid w:val="1C02C133"/>
    <w:rsid w:val="1C1343E9"/>
    <w:rsid w:val="1C3EC576"/>
    <w:rsid w:val="1C497209"/>
    <w:rsid w:val="1C701873"/>
    <w:rsid w:val="1C714F54"/>
    <w:rsid w:val="1CB4D41E"/>
    <w:rsid w:val="1CD128F8"/>
    <w:rsid w:val="1CF81953"/>
    <w:rsid w:val="1D3932AC"/>
    <w:rsid w:val="1D58FF78"/>
    <w:rsid w:val="1D99AF68"/>
    <w:rsid w:val="1DC6B67A"/>
    <w:rsid w:val="1DDFB665"/>
    <w:rsid w:val="1DE178CC"/>
    <w:rsid w:val="1DFAE675"/>
    <w:rsid w:val="1E1BBEB3"/>
    <w:rsid w:val="1E373EFE"/>
    <w:rsid w:val="1E5F570D"/>
    <w:rsid w:val="1E601777"/>
    <w:rsid w:val="1EB0C337"/>
    <w:rsid w:val="1EBC5F35"/>
    <w:rsid w:val="1EFD2E6B"/>
    <w:rsid w:val="1F20121F"/>
    <w:rsid w:val="1F319A0F"/>
    <w:rsid w:val="1F34EFC1"/>
    <w:rsid w:val="1F407361"/>
    <w:rsid w:val="1F415D7A"/>
    <w:rsid w:val="1F439BCC"/>
    <w:rsid w:val="1F55C73E"/>
    <w:rsid w:val="1F640A3E"/>
    <w:rsid w:val="1FE4551E"/>
    <w:rsid w:val="20147B76"/>
    <w:rsid w:val="201E8063"/>
    <w:rsid w:val="201E9ABB"/>
    <w:rsid w:val="20233F9F"/>
    <w:rsid w:val="20572FC6"/>
    <w:rsid w:val="20B33020"/>
    <w:rsid w:val="20C3C98B"/>
    <w:rsid w:val="20C434AD"/>
    <w:rsid w:val="20F23BA0"/>
    <w:rsid w:val="21416D8F"/>
    <w:rsid w:val="21698129"/>
    <w:rsid w:val="21903A4D"/>
    <w:rsid w:val="219CC5E0"/>
    <w:rsid w:val="219F3BFE"/>
    <w:rsid w:val="219F7C43"/>
    <w:rsid w:val="21B91D24"/>
    <w:rsid w:val="21DC5EB1"/>
    <w:rsid w:val="21E7038B"/>
    <w:rsid w:val="21E86FE4"/>
    <w:rsid w:val="21F33521"/>
    <w:rsid w:val="21FAE6BA"/>
    <w:rsid w:val="2208526C"/>
    <w:rsid w:val="220E76CE"/>
    <w:rsid w:val="224C732E"/>
    <w:rsid w:val="228D5E5E"/>
    <w:rsid w:val="228E9F5D"/>
    <w:rsid w:val="2291A675"/>
    <w:rsid w:val="22BD8C00"/>
    <w:rsid w:val="22DA785A"/>
    <w:rsid w:val="22F8C0B8"/>
    <w:rsid w:val="22FC45B3"/>
    <w:rsid w:val="230E244C"/>
    <w:rsid w:val="231BBCA2"/>
    <w:rsid w:val="23202B80"/>
    <w:rsid w:val="2367D139"/>
    <w:rsid w:val="2374B76A"/>
    <w:rsid w:val="239C4771"/>
    <w:rsid w:val="23E46B30"/>
    <w:rsid w:val="23E92FB2"/>
    <w:rsid w:val="23F10CA2"/>
    <w:rsid w:val="23F93F3E"/>
    <w:rsid w:val="2408130F"/>
    <w:rsid w:val="241B363E"/>
    <w:rsid w:val="243E313E"/>
    <w:rsid w:val="24485C81"/>
    <w:rsid w:val="244AEAAA"/>
    <w:rsid w:val="245733F3"/>
    <w:rsid w:val="24B23DF0"/>
    <w:rsid w:val="24DF0DBA"/>
    <w:rsid w:val="24E77135"/>
    <w:rsid w:val="2526A241"/>
    <w:rsid w:val="252F47FA"/>
    <w:rsid w:val="253B4DED"/>
    <w:rsid w:val="25415946"/>
    <w:rsid w:val="254E8BB5"/>
    <w:rsid w:val="255121EB"/>
    <w:rsid w:val="25C49E96"/>
    <w:rsid w:val="26208F84"/>
    <w:rsid w:val="2671A1C2"/>
    <w:rsid w:val="267DBA0A"/>
    <w:rsid w:val="268A0D89"/>
    <w:rsid w:val="2691E287"/>
    <w:rsid w:val="26B1A134"/>
    <w:rsid w:val="26B3A1E0"/>
    <w:rsid w:val="26BCB247"/>
    <w:rsid w:val="26CC1B86"/>
    <w:rsid w:val="26D41BD3"/>
    <w:rsid w:val="26D7A94B"/>
    <w:rsid w:val="26E59FAC"/>
    <w:rsid w:val="26FFF483"/>
    <w:rsid w:val="27048206"/>
    <w:rsid w:val="2728E719"/>
    <w:rsid w:val="27420C50"/>
    <w:rsid w:val="27589B79"/>
    <w:rsid w:val="27617D24"/>
    <w:rsid w:val="276248A4"/>
    <w:rsid w:val="277D2F01"/>
    <w:rsid w:val="27EA4D23"/>
    <w:rsid w:val="28082D4A"/>
    <w:rsid w:val="28513C2F"/>
    <w:rsid w:val="285F1CD2"/>
    <w:rsid w:val="287F9EFD"/>
    <w:rsid w:val="28CA3371"/>
    <w:rsid w:val="28E2F0B8"/>
    <w:rsid w:val="28E54230"/>
    <w:rsid w:val="2908BF3D"/>
    <w:rsid w:val="290E72A8"/>
    <w:rsid w:val="2972FF77"/>
    <w:rsid w:val="29B915D5"/>
    <w:rsid w:val="29BD3510"/>
    <w:rsid w:val="29C7AA78"/>
    <w:rsid w:val="29D17460"/>
    <w:rsid w:val="29F7F911"/>
    <w:rsid w:val="2A2AC4FA"/>
    <w:rsid w:val="2A380AC1"/>
    <w:rsid w:val="2A5C56DC"/>
    <w:rsid w:val="2A7A883C"/>
    <w:rsid w:val="2A810C94"/>
    <w:rsid w:val="2A9926BF"/>
    <w:rsid w:val="2A9EAB6B"/>
    <w:rsid w:val="2ABEAE5E"/>
    <w:rsid w:val="2AE33F41"/>
    <w:rsid w:val="2AE550D7"/>
    <w:rsid w:val="2AFE0F07"/>
    <w:rsid w:val="2B2D710B"/>
    <w:rsid w:val="2B40269B"/>
    <w:rsid w:val="2B7EE1A3"/>
    <w:rsid w:val="2BD76F5C"/>
    <w:rsid w:val="2BDD4BE2"/>
    <w:rsid w:val="2BED7B34"/>
    <w:rsid w:val="2C15BECB"/>
    <w:rsid w:val="2C207F38"/>
    <w:rsid w:val="2C33E497"/>
    <w:rsid w:val="2CF557CA"/>
    <w:rsid w:val="2D07C5C4"/>
    <w:rsid w:val="2D174DC8"/>
    <w:rsid w:val="2D19167B"/>
    <w:rsid w:val="2D2F436E"/>
    <w:rsid w:val="2D3673CC"/>
    <w:rsid w:val="2D7A7077"/>
    <w:rsid w:val="2D7D43EE"/>
    <w:rsid w:val="2DA048C4"/>
    <w:rsid w:val="2DC8ACC5"/>
    <w:rsid w:val="2DCF1237"/>
    <w:rsid w:val="2DE2FA5B"/>
    <w:rsid w:val="2E0CF0B4"/>
    <w:rsid w:val="2E2DCD56"/>
    <w:rsid w:val="2E41943B"/>
    <w:rsid w:val="2E4D4BFE"/>
    <w:rsid w:val="2E654FDB"/>
    <w:rsid w:val="2E688EC5"/>
    <w:rsid w:val="2E75C66E"/>
    <w:rsid w:val="2E96ADCA"/>
    <w:rsid w:val="2EB9BB31"/>
    <w:rsid w:val="2EBEF0D0"/>
    <w:rsid w:val="2EC699FB"/>
    <w:rsid w:val="2ECB43AC"/>
    <w:rsid w:val="2F0F93EB"/>
    <w:rsid w:val="2F1577F2"/>
    <w:rsid w:val="2F192F98"/>
    <w:rsid w:val="2F20533D"/>
    <w:rsid w:val="2F25BEE0"/>
    <w:rsid w:val="2F38525B"/>
    <w:rsid w:val="2F47FF50"/>
    <w:rsid w:val="2F52323C"/>
    <w:rsid w:val="2F5C38C6"/>
    <w:rsid w:val="2F7C6F13"/>
    <w:rsid w:val="2F86C6F6"/>
    <w:rsid w:val="2FA0EBA7"/>
    <w:rsid w:val="2FABFA6F"/>
    <w:rsid w:val="2FE7047A"/>
    <w:rsid w:val="2FEDB5A8"/>
    <w:rsid w:val="2FF43FCF"/>
    <w:rsid w:val="300590CC"/>
    <w:rsid w:val="302AA94C"/>
    <w:rsid w:val="305BAD42"/>
    <w:rsid w:val="3086F05B"/>
    <w:rsid w:val="3090C400"/>
    <w:rsid w:val="30C4B1BE"/>
    <w:rsid w:val="30EF9ED2"/>
    <w:rsid w:val="313FEE0C"/>
    <w:rsid w:val="314420F1"/>
    <w:rsid w:val="315ED248"/>
    <w:rsid w:val="31D40FB7"/>
    <w:rsid w:val="31E40AA4"/>
    <w:rsid w:val="31FD0F56"/>
    <w:rsid w:val="31FEF079"/>
    <w:rsid w:val="32115751"/>
    <w:rsid w:val="32874C21"/>
    <w:rsid w:val="3290E40A"/>
    <w:rsid w:val="32B17C66"/>
    <w:rsid w:val="32D36DBA"/>
    <w:rsid w:val="330FF190"/>
    <w:rsid w:val="3319BCC9"/>
    <w:rsid w:val="3328E06F"/>
    <w:rsid w:val="333F55A3"/>
    <w:rsid w:val="335519EB"/>
    <w:rsid w:val="335C07C7"/>
    <w:rsid w:val="3399797C"/>
    <w:rsid w:val="33DB45D6"/>
    <w:rsid w:val="33E97827"/>
    <w:rsid w:val="3401C640"/>
    <w:rsid w:val="34288A6A"/>
    <w:rsid w:val="347A4E1B"/>
    <w:rsid w:val="34889ED1"/>
    <w:rsid w:val="348BAFAA"/>
    <w:rsid w:val="3492AAAF"/>
    <w:rsid w:val="34987003"/>
    <w:rsid w:val="34A615B6"/>
    <w:rsid w:val="34B21B55"/>
    <w:rsid w:val="350AF2D3"/>
    <w:rsid w:val="351ABD0E"/>
    <w:rsid w:val="35238EE7"/>
    <w:rsid w:val="352A6392"/>
    <w:rsid w:val="352FF0AC"/>
    <w:rsid w:val="35352148"/>
    <w:rsid w:val="354A28F5"/>
    <w:rsid w:val="3565AD12"/>
    <w:rsid w:val="35AC0FE6"/>
    <w:rsid w:val="35AF788A"/>
    <w:rsid w:val="35B3ECCF"/>
    <w:rsid w:val="35EEDE4C"/>
    <w:rsid w:val="361DAFE5"/>
    <w:rsid w:val="36342C52"/>
    <w:rsid w:val="363D6156"/>
    <w:rsid w:val="363FF183"/>
    <w:rsid w:val="364261A4"/>
    <w:rsid w:val="366F83CC"/>
    <w:rsid w:val="3673CAE6"/>
    <w:rsid w:val="36BF3C59"/>
    <w:rsid w:val="36DAC964"/>
    <w:rsid w:val="37338641"/>
    <w:rsid w:val="3733E5EB"/>
    <w:rsid w:val="375469D0"/>
    <w:rsid w:val="375E04C4"/>
    <w:rsid w:val="37625BD0"/>
    <w:rsid w:val="378A3CB7"/>
    <w:rsid w:val="37D06EC6"/>
    <w:rsid w:val="37F781F4"/>
    <w:rsid w:val="3815EB8D"/>
    <w:rsid w:val="3839636D"/>
    <w:rsid w:val="385CA0C3"/>
    <w:rsid w:val="389288BF"/>
    <w:rsid w:val="389D4DD4"/>
    <w:rsid w:val="38AF1D9B"/>
    <w:rsid w:val="38B7A5DF"/>
    <w:rsid w:val="38C27318"/>
    <w:rsid w:val="38C87A0A"/>
    <w:rsid w:val="38D82C5D"/>
    <w:rsid w:val="3919DA43"/>
    <w:rsid w:val="394587C8"/>
    <w:rsid w:val="396C848E"/>
    <w:rsid w:val="3993DABB"/>
    <w:rsid w:val="39B1753C"/>
    <w:rsid w:val="39C5F93F"/>
    <w:rsid w:val="39E7D095"/>
    <w:rsid w:val="3A2D5B5D"/>
    <w:rsid w:val="3A311DC4"/>
    <w:rsid w:val="3A975FE6"/>
    <w:rsid w:val="3AA0F0AF"/>
    <w:rsid w:val="3AE4155F"/>
    <w:rsid w:val="3AF259A9"/>
    <w:rsid w:val="3AF5BD5B"/>
    <w:rsid w:val="3B0DA2A4"/>
    <w:rsid w:val="3B24A72C"/>
    <w:rsid w:val="3B6019B0"/>
    <w:rsid w:val="3B97B190"/>
    <w:rsid w:val="3BB7F7E1"/>
    <w:rsid w:val="3BD63836"/>
    <w:rsid w:val="3BE43A5F"/>
    <w:rsid w:val="3C3F7A20"/>
    <w:rsid w:val="3C3FBFCA"/>
    <w:rsid w:val="3C7326B7"/>
    <w:rsid w:val="3C73643B"/>
    <w:rsid w:val="3C8C1789"/>
    <w:rsid w:val="3C98E18A"/>
    <w:rsid w:val="3CC4C7D5"/>
    <w:rsid w:val="3CE36F2B"/>
    <w:rsid w:val="3CEDC8DD"/>
    <w:rsid w:val="3CEE83BF"/>
    <w:rsid w:val="3D445DF2"/>
    <w:rsid w:val="3D5FC75E"/>
    <w:rsid w:val="3D6624B8"/>
    <w:rsid w:val="3D6B9B39"/>
    <w:rsid w:val="3D72F2D1"/>
    <w:rsid w:val="3D7A2ED0"/>
    <w:rsid w:val="3DB1622A"/>
    <w:rsid w:val="3E723AA0"/>
    <w:rsid w:val="3E788B05"/>
    <w:rsid w:val="3E97628B"/>
    <w:rsid w:val="3E9EC995"/>
    <w:rsid w:val="3EEE4817"/>
    <w:rsid w:val="3F37D85A"/>
    <w:rsid w:val="3F55B551"/>
    <w:rsid w:val="3F6815E3"/>
    <w:rsid w:val="3F8F7BE8"/>
    <w:rsid w:val="3F93BC09"/>
    <w:rsid w:val="3F9D3DD6"/>
    <w:rsid w:val="3FB8C396"/>
    <w:rsid w:val="3FC1C3B5"/>
    <w:rsid w:val="3FC3B84B"/>
    <w:rsid w:val="40608C3E"/>
    <w:rsid w:val="40838236"/>
    <w:rsid w:val="40A14CD7"/>
    <w:rsid w:val="40A7FC0B"/>
    <w:rsid w:val="40E29806"/>
    <w:rsid w:val="40ED6BEB"/>
    <w:rsid w:val="40F33E19"/>
    <w:rsid w:val="411C492E"/>
    <w:rsid w:val="419BDEC8"/>
    <w:rsid w:val="41A943CF"/>
    <w:rsid w:val="41B1EC97"/>
    <w:rsid w:val="41BF727D"/>
    <w:rsid w:val="41FB8B3F"/>
    <w:rsid w:val="422EC692"/>
    <w:rsid w:val="424D673C"/>
    <w:rsid w:val="427B252D"/>
    <w:rsid w:val="42828D27"/>
    <w:rsid w:val="428E0159"/>
    <w:rsid w:val="42ACA36B"/>
    <w:rsid w:val="42C9D94B"/>
    <w:rsid w:val="4338B110"/>
    <w:rsid w:val="4351186A"/>
    <w:rsid w:val="43741812"/>
    <w:rsid w:val="43A8807D"/>
    <w:rsid w:val="43B5600D"/>
    <w:rsid w:val="43DBFA24"/>
    <w:rsid w:val="43EA070F"/>
    <w:rsid w:val="440EB756"/>
    <w:rsid w:val="441EA938"/>
    <w:rsid w:val="4421C241"/>
    <w:rsid w:val="4431D2DC"/>
    <w:rsid w:val="445AC473"/>
    <w:rsid w:val="4484431C"/>
    <w:rsid w:val="44C86C68"/>
    <w:rsid w:val="44C9ADEF"/>
    <w:rsid w:val="44E2EF14"/>
    <w:rsid w:val="44E6F19A"/>
    <w:rsid w:val="456132B3"/>
    <w:rsid w:val="45625E8C"/>
    <w:rsid w:val="45817221"/>
    <w:rsid w:val="459D8708"/>
    <w:rsid w:val="45C7F35C"/>
    <w:rsid w:val="45D69740"/>
    <w:rsid w:val="45E0B980"/>
    <w:rsid w:val="4624D9F8"/>
    <w:rsid w:val="464A8321"/>
    <w:rsid w:val="465B4143"/>
    <w:rsid w:val="467890A0"/>
    <w:rsid w:val="46B23220"/>
    <w:rsid w:val="46D8C0B6"/>
    <w:rsid w:val="46E58C8A"/>
    <w:rsid w:val="46E6C6DA"/>
    <w:rsid w:val="46F58F6A"/>
    <w:rsid w:val="46F78DC2"/>
    <w:rsid w:val="4728B4AD"/>
    <w:rsid w:val="472EB321"/>
    <w:rsid w:val="473E93D2"/>
    <w:rsid w:val="47418D45"/>
    <w:rsid w:val="47452FC4"/>
    <w:rsid w:val="4747AECC"/>
    <w:rsid w:val="475EE1B2"/>
    <w:rsid w:val="47AE52F4"/>
    <w:rsid w:val="47B616E2"/>
    <w:rsid w:val="47C48CFB"/>
    <w:rsid w:val="47E4B021"/>
    <w:rsid w:val="48257642"/>
    <w:rsid w:val="482DF43E"/>
    <w:rsid w:val="48388D91"/>
    <w:rsid w:val="4898F279"/>
    <w:rsid w:val="48C85657"/>
    <w:rsid w:val="48C9DB64"/>
    <w:rsid w:val="48F77507"/>
    <w:rsid w:val="4977C0D8"/>
    <w:rsid w:val="49953E24"/>
    <w:rsid w:val="49B1F1C8"/>
    <w:rsid w:val="49C7AD8F"/>
    <w:rsid w:val="49EFD955"/>
    <w:rsid w:val="49F4AFAD"/>
    <w:rsid w:val="4A04EF5B"/>
    <w:rsid w:val="4A23D3A2"/>
    <w:rsid w:val="4A532D06"/>
    <w:rsid w:val="4A5FD31C"/>
    <w:rsid w:val="4A6CB92E"/>
    <w:rsid w:val="4A98B7E1"/>
    <w:rsid w:val="4AB73E03"/>
    <w:rsid w:val="4AB7C050"/>
    <w:rsid w:val="4ABF6087"/>
    <w:rsid w:val="4ACD7069"/>
    <w:rsid w:val="4AD9D353"/>
    <w:rsid w:val="4ADB4DDD"/>
    <w:rsid w:val="4B202192"/>
    <w:rsid w:val="4B34D9E8"/>
    <w:rsid w:val="4B3695D5"/>
    <w:rsid w:val="4B3EC121"/>
    <w:rsid w:val="4B5A9C98"/>
    <w:rsid w:val="4B7983FE"/>
    <w:rsid w:val="4B7FDAF0"/>
    <w:rsid w:val="4B828D72"/>
    <w:rsid w:val="4B848A3B"/>
    <w:rsid w:val="4BBB4548"/>
    <w:rsid w:val="4BBEEAEE"/>
    <w:rsid w:val="4BC45FC2"/>
    <w:rsid w:val="4BCF581A"/>
    <w:rsid w:val="4BD0933B"/>
    <w:rsid w:val="4BD45E58"/>
    <w:rsid w:val="4BEBC8CC"/>
    <w:rsid w:val="4BFA2DE5"/>
    <w:rsid w:val="4C054DCA"/>
    <w:rsid w:val="4C09D372"/>
    <w:rsid w:val="4C3532AB"/>
    <w:rsid w:val="4C618847"/>
    <w:rsid w:val="4C63F384"/>
    <w:rsid w:val="4C9CC5F2"/>
    <w:rsid w:val="4CCC32A6"/>
    <w:rsid w:val="4D003560"/>
    <w:rsid w:val="4D2A1DBC"/>
    <w:rsid w:val="4D34F728"/>
    <w:rsid w:val="4D63EA0A"/>
    <w:rsid w:val="4D71F207"/>
    <w:rsid w:val="4D79886A"/>
    <w:rsid w:val="4D850601"/>
    <w:rsid w:val="4D96F11C"/>
    <w:rsid w:val="4DBF5B40"/>
    <w:rsid w:val="4DD8EE24"/>
    <w:rsid w:val="4DFD58A8"/>
    <w:rsid w:val="4E06F28F"/>
    <w:rsid w:val="4E19EEA2"/>
    <w:rsid w:val="4E22C208"/>
    <w:rsid w:val="4E37F59C"/>
    <w:rsid w:val="4E55BA7F"/>
    <w:rsid w:val="4E70329C"/>
    <w:rsid w:val="4E84CD28"/>
    <w:rsid w:val="4EA29CE2"/>
    <w:rsid w:val="4EA55563"/>
    <w:rsid w:val="4EC3CBAD"/>
    <w:rsid w:val="4EC4D16E"/>
    <w:rsid w:val="4EDBA809"/>
    <w:rsid w:val="4EE3178C"/>
    <w:rsid w:val="4EED99A5"/>
    <w:rsid w:val="4EEE707F"/>
    <w:rsid w:val="4EFA1656"/>
    <w:rsid w:val="4F0E32FF"/>
    <w:rsid w:val="4F219F5C"/>
    <w:rsid w:val="4F2371BA"/>
    <w:rsid w:val="4F58340D"/>
    <w:rsid w:val="4F994BFD"/>
    <w:rsid w:val="4FB57449"/>
    <w:rsid w:val="4FC13CF5"/>
    <w:rsid w:val="4FCE619A"/>
    <w:rsid w:val="4FE1C99B"/>
    <w:rsid w:val="4FFA1B26"/>
    <w:rsid w:val="5011230C"/>
    <w:rsid w:val="50418AC5"/>
    <w:rsid w:val="504E26A4"/>
    <w:rsid w:val="5071A528"/>
    <w:rsid w:val="5076EEA8"/>
    <w:rsid w:val="507A508C"/>
    <w:rsid w:val="507B5EB9"/>
    <w:rsid w:val="50822062"/>
    <w:rsid w:val="50C15EA0"/>
    <w:rsid w:val="50D46993"/>
    <w:rsid w:val="50E40FEC"/>
    <w:rsid w:val="5118FA17"/>
    <w:rsid w:val="51488390"/>
    <w:rsid w:val="514A3634"/>
    <w:rsid w:val="51C46971"/>
    <w:rsid w:val="51C4E4D1"/>
    <w:rsid w:val="51D1EDA2"/>
    <w:rsid w:val="51F3CBBF"/>
    <w:rsid w:val="52174B1F"/>
    <w:rsid w:val="524645B5"/>
    <w:rsid w:val="52567778"/>
    <w:rsid w:val="525F6C35"/>
    <w:rsid w:val="5260BA73"/>
    <w:rsid w:val="527C54A4"/>
    <w:rsid w:val="531505A6"/>
    <w:rsid w:val="5376D895"/>
    <w:rsid w:val="5377EB71"/>
    <w:rsid w:val="53800AC5"/>
    <w:rsid w:val="53984291"/>
    <w:rsid w:val="53E31956"/>
    <w:rsid w:val="53E3C770"/>
    <w:rsid w:val="53E628C0"/>
    <w:rsid w:val="53F5B94D"/>
    <w:rsid w:val="5423EC79"/>
    <w:rsid w:val="54A17D9D"/>
    <w:rsid w:val="54C22A80"/>
    <w:rsid w:val="54EB8F65"/>
    <w:rsid w:val="54F2EBFD"/>
    <w:rsid w:val="556B635E"/>
    <w:rsid w:val="55B28937"/>
    <w:rsid w:val="55BC82F2"/>
    <w:rsid w:val="55C9EC2A"/>
    <w:rsid w:val="560C669C"/>
    <w:rsid w:val="5626D842"/>
    <w:rsid w:val="5637C948"/>
    <w:rsid w:val="5640D794"/>
    <w:rsid w:val="56DA0769"/>
    <w:rsid w:val="56F3B9BA"/>
    <w:rsid w:val="570A2C67"/>
    <w:rsid w:val="5713B8F5"/>
    <w:rsid w:val="5718D33F"/>
    <w:rsid w:val="57355415"/>
    <w:rsid w:val="578CF097"/>
    <w:rsid w:val="57C988CA"/>
    <w:rsid w:val="57E37468"/>
    <w:rsid w:val="57E9CCE9"/>
    <w:rsid w:val="5800BA6C"/>
    <w:rsid w:val="580F882F"/>
    <w:rsid w:val="581DD5AB"/>
    <w:rsid w:val="582BAF6E"/>
    <w:rsid w:val="586F9225"/>
    <w:rsid w:val="5878D807"/>
    <w:rsid w:val="588121BF"/>
    <w:rsid w:val="58858A7A"/>
    <w:rsid w:val="5886709E"/>
    <w:rsid w:val="58C45D55"/>
    <w:rsid w:val="590F0A26"/>
    <w:rsid w:val="59187CE3"/>
    <w:rsid w:val="593C5422"/>
    <w:rsid w:val="594163FA"/>
    <w:rsid w:val="598851C0"/>
    <w:rsid w:val="59AD69DB"/>
    <w:rsid w:val="59F783EC"/>
    <w:rsid w:val="5A14E5FE"/>
    <w:rsid w:val="5A15E58A"/>
    <w:rsid w:val="5A329570"/>
    <w:rsid w:val="5A34F7CB"/>
    <w:rsid w:val="5A8D2981"/>
    <w:rsid w:val="5AA3C075"/>
    <w:rsid w:val="5AB663C3"/>
    <w:rsid w:val="5ADA4314"/>
    <w:rsid w:val="5AF1BA80"/>
    <w:rsid w:val="5B0B9623"/>
    <w:rsid w:val="5B0E3428"/>
    <w:rsid w:val="5B308BF0"/>
    <w:rsid w:val="5B48EFFE"/>
    <w:rsid w:val="5B4A3E9C"/>
    <w:rsid w:val="5B7DA682"/>
    <w:rsid w:val="5BDF1EE8"/>
    <w:rsid w:val="5C374D8C"/>
    <w:rsid w:val="5C50A7BD"/>
    <w:rsid w:val="5C834264"/>
    <w:rsid w:val="5C86AFAF"/>
    <w:rsid w:val="5CBE68AB"/>
    <w:rsid w:val="5CE25BB9"/>
    <w:rsid w:val="5D0FBFDC"/>
    <w:rsid w:val="5D200726"/>
    <w:rsid w:val="5D566301"/>
    <w:rsid w:val="5D6B6F04"/>
    <w:rsid w:val="5D7A1394"/>
    <w:rsid w:val="5D7A4665"/>
    <w:rsid w:val="5DAB7E78"/>
    <w:rsid w:val="5DDEFC0E"/>
    <w:rsid w:val="5E04E0F8"/>
    <w:rsid w:val="5E24CE7C"/>
    <w:rsid w:val="5E3D0C5A"/>
    <w:rsid w:val="5E5F5AFC"/>
    <w:rsid w:val="5E72A2DF"/>
    <w:rsid w:val="5E7DFA34"/>
    <w:rsid w:val="5EA412B8"/>
    <w:rsid w:val="5EE35134"/>
    <w:rsid w:val="5F01F5DB"/>
    <w:rsid w:val="5F15C354"/>
    <w:rsid w:val="5F326A5D"/>
    <w:rsid w:val="5F5680CD"/>
    <w:rsid w:val="5F61BE93"/>
    <w:rsid w:val="5F6262C8"/>
    <w:rsid w:val="5F73429F"/>
    <w:rsid w:val="5F7D0C88"/>
    <w:rsid w:val="5F7E9240"/>
    <w:rsid w:val="5F987CD2"/>
    <w:rsid w:val="5FC1B8CB"/>
    <w:rsid w:val="5FC4F324"/>
    <w:rsid w:val="602F7F92"/>
    <w:rsid w:val="603CA67D"/>
    <w:rsid w:val="604B8BE9"/>
    <w:rsid w:val="6082BA36"/>
    <w:rsid w:val="60A09EDD"/>
    <w:rsid w:val="60D1E9F6"/>
    <w:rsid w:val="60DE4964"/>
    <w:rsid w:val="60E4C7CA"/>
    <w:rsid w:val="60EF826F"/>
    <w:rsid w:val="60FD0ACA"/>
    <w:rsid w:val="6109C550"/>
    <w:rsid w:val="610D2995"/>
    <w:rsid w:val="616FA0B4"/>
    <w:rsid w:val="61E28B94"/>
    <w:rsid w:val="6223CB29"/>
    <w:rsid w:val="622FDFE0"/>
    <w:rsid w:val="62418218"/>
    <w:rsid w:val="627AF191"/>
    <w:rsid w:val="62AEAD78"/>
    <w:rsid w:val="62D7DAF6"/>
    <w:rsid w:val="62F90331"/>
    <w:rsid w:val="630228F3"/>
    <w:rsid w:val="63362F35"/>
    <w:rsid w:val="634BC645"/>
    <w:rsid w:val="634F9A56"/>
    <w:rsid w:val="6354F3F4"/>
    <w:rsid w:val="635D6A9C"/>
    <w:rsid w:val="6383DC85"/>
    <w:rsid w:val="63959E1B"/>
    <w:rsid w:val="63A7960B"/>
    <w:rsid w:val="63D8138B"/>
    <w:rsid w:val="6400DCBD"/>
    <w:rsid w:val="64040645"/>
    <w:rsid w:val="640B042B"/>
    <w:rsid w:val="641C688C"/>
    <w:rsid w:val="6422FBE8"/>
    <w:rsid w:val="64A93E4B"/>
    <w:rsid w:val="64B1B97A"/>
    <w:rsid w:val="64B2F727"/>
    <w:rsid w:val="65539CC2"/>
    <w:rsid w:val="655E32E8"/>
    <w:rsid w:val="65C8E61A"/>
    <w:rsid w:val="65D3FDEB"/>
    <w:rsid w:val="666C77F1"/>
    <w:rsid w:val="666D945C"/>
    <w:rsid w:val="66834243"/>
    <w:rsid w:val="668E52A1"/>
    <w:rsid w:val="66C19F36"/>
    <w:rsid w:val="66F31CFA"/>
    <w:rsid w:val="672154E8"/>
    <w:rsid w:val="6729F9E4"/>
    <w:rsid w:val="675706C4"/>
    <w:rsid w:val="6774017B"/>
    <w:rsid w:val="678F9DCB"/>
    <w:rsid w:val="679CE337"/>
    <w:rsid w:val="679EF0A6"/>
    <w:rsid w:val="67B3AA3E"/>
    <w:rsid w:val="67CDA244"/>
    <w:rsid w:val="680330DA"/>
    <w:rsid w:val="68084852"/>
    <w:rsid w:val="680AA0FC"/>
    <w:rsid w:val="6823F173"/>
    <w:rsid w:val="6831388D"/>
    <w:rsid w:val="68734CCE"/>
    <w:rsid w:val="6884ADC3"/>
    <w:rsid w:val="689A201E"/>
    <w:rsid w:val="68AA3618"/>
    <w:rsid w:val="68AD0FBD"/>
    <w:rsid w:val="68C3467E"/>
    <w:rsid w:val="68C7340A"/>
    <w:rsid w:val="68EBD321"/>
    <w:rsid w:val="68F05292"/>
    <w:rsid w:val="690BF55A"/>
    <w:rsid w:val="694DE4AF"/>
    <w:rsid w:val="695395D1"/>
    <w:rsid w:val="6953CBA3"/>
    <w:rsid w:val="695A099C"/>
    <w:rsid w:val="6993E032"/>
    <w:rsid w:val="69950CE6"/>
    <w:rsid w:val="69F37C8F"/>
    <w:rsid w:val="69FC054E"/>
    <w:rsid w:val="6A31A338"/>
    <w:rsid w:val="6A789E32"/>
    <w:rsid w:val="6A892B86"/>
    <w:rsid w:val="6AB588FD"/>
    <w:rsid w:val="6AC30067"/>
    <w:rsid w:val="6AC40783"/>
    <w:rsid w:val="6ACFEC2D"/>
    <w:rsid w:val="6AF84275"/>
    <w:rsid w:val="6B12FF5F"/>
    <w:rsid w:val="6B1CA7BA"/>
    <w:rsid w:val="6B227CA7"/>
    <w:rsid w:val="6B2ADE13"/>
    <w:rsid w:val="6B2AF037"/>
    <w:rsid w:val="6B47DD15"/>
    <w:rsid w:val="6B5D5177"/>
    <w:rsid w:val="6B66DD07"/>
    <w:rsid w:val="6B76A297"/>
    <w:rsid w:val="6BA3A083"/>
    <w:rsid w:val="6BC084BC"/>
    <w:rsid w:val="6BEFE408"/>
    <w:rsid w:val="6BF7398B"/>
    <w:rsid w:val="6BFB53C3"/>
    <w:rsid w:val="6C012247"/>
    <w:rsid w:val="6C0C1751"/>
    <w:rsid w:val="6C15B3C7"/>
    <w:rsid w:val="6C5AC28E"/>
    <w:rsid w:val="6C734078"/>
    <w:rsid w:val="6C962B72"/>
    <w:rsid w:val="6CACCADE"/>
    <w:rsid w:val="6CAF190C"/>
    <w:rsid w:val="6D388ACD"/>
    <w:rsid w:val="6D399310"/>
    <w:rsid w:val="6D4DE1C2"/>
    <w:rsid w:val="6D548B4D"/>
    <w:rsid w:val="6DA5DB11"/>
    <w:rsid w:val="6DB60DD7"/>
    <w:rsid w:val="6DBDC532"/>
    <w:rsid w:val="6DCD7158"/>
    <w:rsid w:val="6DCE857B"/>
    <w:rsid w:val="6DF692EF"/>
    <w:rsid w:val="6E12D2CA"/>
    <w:rsid w:val="6E22C5F0"/>
    <w:rsid w:val="6E2652F8"/>
    <w:rsid w:val="6E273CC6"/>
    <w:rsid w:val="6E2E8C65"/>
    <w:rsid w:val="6E73A09E"/>
    <w:rsid w:val="6E85CFE6"/>
    <w:rsid w:val="6E9A5B95"/>
    <w:rsid w:val="6EB7689D"/>
    <w:rsid w:val="6EB90242"/>
    <w:rsid w:val="6ECCA27B"/>
    <w:rsid w:val="6F0F57FA"/>
    <w:rsid w:val="6F433DEC"/>
    <w:rsid w:val="6F56613E"/>
    <w:rsid w:val="6F6D9676"/>
    <w:rsid w:val="6F9CFB4E"/>
    <w:rsid w:val="6FA93867"/>
    <w:rsid w:val="6FF1C898"/>
    <w:rsid w:val="701F1C59"/>
    <w:rsid w:val="70564B02"/>
    <w:rsid w:val="705AF8C6"/>
    <w:rsid w:val="7065BF12"/>
    <w:rsid w:val="709C5406"/>
    <w:rsid w:val="70A61365"/>
    <w:rsid w:val="70B94B85"/>
    <w:rsid w:val="70B9AF62"/>
    <w:rsid w:val="70C62A84"/>
    <w:rsid w:val="71027EFB"/>
    <w:rsid w:val="715206A5"/>
    <w:rsid w:val="715D2DAF"/>
    <w:rsid w:val="715EDD88"/>
    <w:rsid w:val="717CFE13"/>
    <w:rsid w:val="7188C685"/>
    <w:rsid w:val="718B9EF1"/>
    <w:rsid w:val="71B279F6"/>
    <w:rsid w:val="71D3E673"/>
    <w:rsid w:val="71E6D5C9"/>
    <w:rsid w:val="71F51035"/>
    <w:rsid w:val="724DF654"/>
    <w:rsid w:val="72900222"/>
    <w:rsid w:val="72AE03D1"/>
    <w:rsid w:val="72B1A0E6"/>
    <w:rsid w:val="72BE3C31"/>
    <w:rsid w:val="72C333B7"/>
    <w:rsid w:val="72DF6CC1"/>
    <w:rsid w:val="7339C69D"/>
    <w:rsid w:val="7350890C"/>
    <w:rsid w:val="7350ED4A"/>
    <w:rsid w:val="73591C33"/>
    <w:rsid w:val="7361ABBB"/>
    <w:rsid w:val="7366BF17"/>
    <w:rsid w:val="73F6B1DD"/>
    <w:rsid w:val="74235A4E"/>
    <w:rsid w:val="74A57A01"/>
    <w:rsid w:val="74EDE9DD"/>
    <w:rsid w:val="753993EE"/>
    <w:rsid w:val="75BC6DC2"/>
    <w:rsid w:val="75C19A30"/>
    <w:rsid w:val="75EFD89F"/>
    <w:rsid w:val="75F81961"/>
    <w:rsid w:val="7605DDC6"/>
    <w:rsid w:val="76277688"/>
    <w:rsid w:val="763E3A83"/>
    <w:rsid w:val="7656C8F9"/>
    <w:rsid w:val="766EA142"/>
    <w:rsid w:val="769CB8DA"/>
    <w:rsid w:val="76C1E918"/>
    <w:rsid w:val="76C27A82"/>
    <w:rsid w:val="76CB6A99"/>
    <w:rsid w:val="775BE799"/>
    <w:rsid w:val="77721A9E"/>
    <w:rsid w:val="77727576"/>
    <w:rsid w:val="77746798"/>
    <w:rsid w:val="77CF54BA"/>
    <w:rsid w:val="78428838"/>
    <w:rsid w:val="784AD138"/>
    <w:rsid w:val="785E4AE3"/>
    <w:rsid w:val="7861E941"/>
    <w:rsid w:val="788B0A41"/>
    <w:rsid w:val="7891D60F"/>
    <w:rsid w:val="78A61079"/>
    <w:rsid w:val="78C208E3"/>
    <w:rsid w:val="78C6A92B"/>
    <w:rsid w:val="7901D296"/>
    <w:rsid w:val="795CBA19"/>
    <w:rsid w:val="79666FDB"/>
    <w:rsid w:val="799CADEE"/>
    <w:rsid w:val="79A664FA"/>
    <w:rsid w:val="79AFC84C"/>
    <w:rsid w:val="79EBE571"/>
    <w:rsid w:val="7A1A5E20"/>
    <w:rsid w:val="7A3D51D9"/>
    <w:rsid w:val="7A59D17B"/>
    <w:rsid w:val="7AA7A8A8"/>
    <w:rsid w:val="7AB79616"/>
    <w:rsid w:val="7ADD7CC3"/>
    <w:rsid w:val="7B0106D5"/>
    <w:rsid w:val="7B0DAD54"/>
    <w:rsid w:val="7B255595"/>
    <w:rsid w:val="7B36F93F"/>
    <w:rsid w:val="7B3F86FF"/>
    <w:rsid w:val="7B403899"/>
    <w:rsid w:val="7B529AB7"/>
    <w:rsid w:val="7B710272"/>
    <w:rsid w:val="7B79AF12"/>
    <w:rsid w:val="7B86B3A4"/>
    <w:rsid w:val="7BBF3F1A"/>
    <w:rsid w:val="7BD26847"/>
    <w:rsid w:val="7BF2552F"/>
    <w:rsid w:val="7BF47C98"/>
    <w:rsid w:val="7BF490D4"/>
    <w:rsid w:val="7C2867DD"/>
    <w:rsid w:val="7C3E07FE"/>
    <w:rsid w:val="7C648B9B"/>
    <w:rsid w:val="7CA058DF"/>
    <w:rsid w:val="7CA0663E"/>
    <w:rsid w:val="7CCC336D"/>
    <w:rsid w:val="7CD0CED2"/>
    <w:rsid w:val="7CDF0FED"/>
    <w:rsid w:val="7D0FC411"/>
    <w:rsid w:val="7D3AE4BE"/>
    <w:rsid w:val="7D52C386"/>
    <w:rsid w:val="7D6F3AA6"/>
    <w:rsid w:val="7D762381"/>
    <w:rsid w:val="7D8E6B9F"/>
    <w:rsid w:val="7D969C17"/>
    <w:rsid w:val="7D977E31"/>
    <w:rsid w:val="7DB40E28"/>
    <w:rsid w:val="7DB7FC0D"/>
    <w:rsid w:val="7DD7C8E2"/>
    <w:rsid w:val="7DE36099"/>
    <w:rsid w:val="7E10EA23"/>
    <w:rsid w:val="7E416723"/>
    <w:rsid w:val="7E44CE40"/>
    <w:rsid w:val="7E4E5193"/>
    <w:rsid w:val="7E5BFB04"/>
    <w:rsid w:val="7E7CF5F5"/>
    <w:rsid w:val="7E9F5650"/>
    <w:rsid w:val="7EF7CD23"/>
    <w:rsid w:val="7F0733B4"/>
    <w:rsid w:val="7F0B5A35"/>
    <w:rsid w:val="7F4938C7"/>
    <w:rsid w:val="7F5B2A0C"/>
    <w:rsid w:val="7FF4D4FF"/>
    <w:rsid w:val="7FFB06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877B"/>
  <w15:chartTrackingRefBased/>
  <w15:docId w15:val="{14D148BE-4B8B-44A4-9852-429CF865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DC"/>
    <w:pPr>
      <w:spacing w:after="0" w:line="240" w:lineRule="auto"/>
      <w:jc w:val="both"/>
    </w:pPr>
    <w:rPr>
      <w:rFonts w:ascii="Times New Roman" w:hAnsi="Times New Roman"/>
      <w:sz w:val="24"/>
      <w:lang w:val="en-IE"/>
    </w:rPr>
  </w:style>
  <w:style w:type="paragraph" w:styleId="Heading1">
    <w:name w:val="heading 1"/>
    <w:basedOn w:val="Normal"/>
    <w:next w:val="Normal"/>
    <w:link w:val="Heading1Char"/>
    <w:uiPriority w:val="9"/>
    <w:qFormat/>
    <w:rsid w:val="00F720A7"/>
    <w:pPr>
      <w:keepNext/>
      <w:keepLines/>
      <w:numPr>
        <w:numId w:val="96"/>
      </w:numPr>
      <w:spacing w:before="240" w:after="240"/>
      <w:outlineLvl w:val="0"/>
    </w:pPr>
    <w:rPr>
      <w:rFonts w:eastAsiaTheme="majorEastAsia" w:cs="Times New Roman"/>
      <w:b/>
      <w:color w:val="0D0D0D" w:themeColor="text1" w:themeTint="F2"/>
      <w:szCs w:val="32"/>
    </w:rPr>
  </w:style>
  <w:style w:type="paragraph" w:styleId="Heading2">
    <w:name w:val="heading 2"/>
    <w:basedOn w:val="Normal"/>
    <w:next w:val="Normal"/>
    <w:link w:val="Heading2Char"/>
    <w:uiPriority w:val="9"/>
    <w:unhideWhenUsed/>
    <w:qFormat/>
    <w:rsid w:val="00796C27"/>
    <w:pPr>
      <w:keepNext/>
      <w:keepLines/>
      <w:numPr>
        <w:ilvl w:val="1"/>
        <w:numId w:val="2"/>
      </w:numPr>
      <w:spacing w:before="160" w:after="120"/>
      <w:outlineLvl w:val="1"/>
    </w:pPr>
    <w:rPr>
      <w:rFonts w:eastAsiaTheme="majorEastAsia" w:cs="Times New Roman"/>
      <w:b/>
      <w:color w:val="0D0D0D" w:themeColor="text1" w:themeTint="F2"/>
      <w:szCs w:val="26"/>
    </w:rPr>
  </w:style>
  <w:style w:type="paragraph" w:styleId="Heading3">
    <w:name w:val="heading 3"/>
    <w:basedOn w:val="Normal"/>
    <w:next w:val="Normal"/>
    <w:link w:val="Heading3Char"/>
    <w:uiPriority w:val="9"/>
    <w:unhideWhenUsed/>
    <w:qFormat/>
    <w:rsid w:val="00796C27"/>
    <w:pPr>
      <w:keepNext/>
      <w:keepLines/>
      <w:numPr>
        <w:ilvl w:val="2"/>
        <w:numId w:val="2"/>
      </w:numPr>
      <w:spacing w:before="80" w:after="80"/>
      <w:ind w:left="1224"/>
      <w:outlineLvl w:val="2"/>
    </w:pPr>
    <w:rPr>
      <w:rFonts w:eastAsiaTheme="majorEastAsia" w:cs="Times New Roman"/>
      <w:b/>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20A7"/>
    <w:rPr>
      <w:rFonts w:ascii="Times New Roman" w:eastAsiaTheme="majorEastAsia" w:hAnsi="Times New Roman" w:cs="Times New Roman"/>
      <w:b/>
      <w:color w:val="0D0D0D" w:themeColor="text1" w:themeTint="F2"/>
      <w:sz w:val="24"/>
      <w:szCs w:val="32"/>
    </w:rPr>
  </w:style>
  <w:style w:type="character" w:customStyle="1" w:styleId="Heading2Char">
    <w:name w:val="Heading 2 Char"/>
    <w:basedOn w:val="DefaultParagraphFont"/>
    <w:link w:val="Heading2"/>
    <w:uiPriority w:val="9"/>
    <w:rsid w:val="00796C27"/>
    <w:rPr>
      <w:rFonts w:ascii="Times New Roman" w:eastAsiaTheme="majorEastAsia" w:hAnsi="Times New Roman" w:cs="Times New Roman"/>
      <w:b/>
      <w:color w:val="0D0D0D" w:themeColor="text1" w:themeTint="F2"/>
      <w:sz w:val="24"/>
      <w:szCs w:val="26"/>
    </w:rPr>
  </w:style>
  <w:style w:type="character" w:customStyle="1" w:styleId="Heading3Char">
    <w:name w:val="Heading 3 Char"/>
    <w:basedOn w:val="DefaultParagraphFont"/>
    <w:link w:val="Heading3"/>
    <w:uiPriority w:val="9"/>
    <w:rsid w:val="00796C27"/>
    <w:rPr>
      <w:rFonts w:ascii="Times New Roman" w:eastAsiaTheme="majorEastAsia" w:hAnsi="Times New Roman" w:cs="Times New Roman"/>
      <w:b/>
      <w:color w:val="0D0D0D" w:themeColor="text1" w:themeTint="F2"/>
      <w:sz w:val="24"/>
      <w:szCs w:val="24"/>
    </w:rPr>
  </w:style>
  <w:style w:type="paragraph" w:styleId="TOCHeading">
    <w:name w:val="TOC Heading"/>
    <w:basedOn w:val="Heading1"/>
    <w:next w:val="Normal"/>
    <w:uiPriority w:val="39"/>
    <w:unhideWhenUsed/>
    <w:qFormat/>
    <w:rsid w:val="007C5095"/>
    <w:pPr>
      <w:outlineLvl w:val="9"/>
    </w:pPr>
    <w:rPr>
      <w:lang w:val="en-US"/>
    </w:rPr>
  </w:style>
  <w:style w:type="paragraph" w:styleId="TOC1">
    <w:name w:val="toc 1"/>
    <w:basedOn w:val="Normal"/>
    <w:next w:val="Normal"/>
    <w:autoRedefine/>
    <w:uiPriority w:val="39"/>
    <w:unhideWhenUsed/>
    <w:rsid w:val="00796C27"/>
    <w:pPr>
      <w:tabs>
        <w:tab w:val="left" w:pos="440"/>
        <w:tab w:val="right" w:leader="dot" w:pos="10456"/>
      </w:tabs>
      <w:spacing w:after="100"/>
    </w:pPr>
  </w:style>
  <w:style w:type="paragraph" w:styleId="TOC2">
    <w:name w:val="toc 2"/>
    <w:basedOn w:val="Normal"/>
    <w:next w:val="Normal"/>
    <w:autoRedefine/>
    <w:uiPriority w:val="39"/>
    <w:unhideWhenUsed/>
    <w:rsid w:val="00CA40E4"/>
    <w:pPr>
      <w:tabs>
        <w:tab w:val="left" w:pos="880"/>
        <w:tab w:val="right" w:leader="dot" w:pos="10456"/>
      </w:tabs>
      <w:spacing w:after="100"/>
      <w:ind w:left="220"/>
    </w:pPr>
  </w:style>
  <w:style w:type="paragraph" w:styleId="TOC3">
    <w:name w:val="toc 3"/>
    <w:basedOn w:val="Normal"/>
    <w:next w:val="Normal"/>
    <w:autoRedefine/>
    <w:uiPriority w:val="39"/>
    <w:unhideWhenUsed/>
    <w:rsid w:val="00062893"/>
    <w:pPr>
      <w:tabs>
        <w:tab w:val="left" w:pos="1320"/>
        <w:tab w:val="right" w:leader="dot" w:pos="10456"/>
      </w:tabs>
      <w:spacing w:after="100"/>
      <w:ind w:left="440"/>
    </w:pPr>
  </w:style>
  <w:style w:type="character" w:styleId="Hyperlink">
    <w:name w:val="Hyperlink"/>
    <w:basedOn w:val="DefaultParagraphFont"/>
    <w:uiPriority w:val="99"/>
    <w:unhideWhenUsed/>
    <w:rsid w:val="007C5095"/>
    <w:rPr>
      <w:color w:val="0563C1" w:themeColor="hyperlink"/>
      <w:u w:val="single"/>
    </w:rPr>
  </w:style>
  <w:style w:type="paragraph" w:styleId="BalloonText">
    <w:name w:val="Balloon Text"/>
    <w:basedOn w:val="Normal"/>
    <w:link w:val="BalloonTextChar"/>
    <w:uiPriority w:val="99"/>
    <w:semiHidden/>
    <w:unhideWhenUsed/>
    <w:rsid w:val="007C5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95"/>
    <w:rPr>
      <w:rFonts w:ascii="Segoe UI" w:hAnsi="Segoe UI" w:cs="Segoe UI"/>
      <w:sz w:val="18"/>
      <w:szCs w:val="18"/>
    </w:rPr>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PROVERE 1,6,Liste Paragraf,Bull"/>
    <w:basedOn w:val="Normal"/>
    <w:link w:val="ListParagraphChar"/>
    <w:uiPriority w:val="34"/>
    <w:qFormat/>
    <w:rsid w:val="00FE2E16"/>
    <w:pPr>
      <w:ind w:left="720"/>
      <w:contextualSpacing/>
    </w:pPr>
  </w:style>
  <w:style w:type="character" w:styleId="SubtleReference">
    <w:name w:val="Subtle Reference"/>
    <w:basedOn w:val="DefaultParagraphFont"/>
    <w:uiPriority w:val="31"/>
    <w:qFormat/>
    <w:rsid w:val="00AF441D"/>
    <w:rPr>
      <w:smallCaps/>
      <w:color w:val="5A5A5A" w:themeColor="text1" w:themeTint="A5"/>
    </w:rPr>
  </w:style>
  <w:style w:type="paragraph" w:styleId="Header">
    <w:name w:val="header"/>
    <w:basedOn w:val="Normal"/>
    <w:link w:val="HeaderChar"/>
    <w:uiPriority w:val="99"/>
    <w:unhideWhenUsed/>
    <w:rsid w:val="0022259C"/>
    <w:pPr>
      <w:tabs>
        <w:tab w:val="center" w:pos="4513"/>
        <w:tab w:val="right" w:pos="9026"/>
      </w:tabs>
    </w:pPr>
  </w:style>
  <w:style w:type="character" w:customStyle="1" w:styleId="HeaderChar">
    <w:name w:val="Header Char"/>
    <w:basedOn w:val="DefaultParagraphFont"/>
    <w:link w:val="Header"/>
    <w:uiPriority w:val="99"/>
    <w:rsid w:val="0022259C"/>
  </w:style>
  <w:style w:type="paragraph" w:styleId="Footer">
    <w:name w:val="footer"/>
    <w:basedOn w:val="Normal"/>
    <w:link w:val="FooterChar"/>
    <w:uiPriority w:val="99"/>
    <w:unhideWhenUsed/>
    <w:rsid w:val="0022259C"/>
    <w:pPr>
      <w:tabs>
        <w:tab w:val="center" w:pos="4513"/>
        <w:tab w:val="right" w:pos="9026"/>
      </w:tabs>
    </w:pPr>
  </w:style>
  <w:style w:type="character" w:customStyle="1" w:styleId="FooterChar">
    <w:name w:val="Footer Char"/>
    <w:basedOn w:val="DefaultParagraphFont"/>
    <w:link w:val="Footer"/>
    <w:uiPriority w:val="99"/>
    <w:rsid w:val="0022259C"/>
  </w:style>
  <w:style w:type="paragraph" w:customStyle="1" w:styleId="Text1">
    <w:name w:val="Text 1"/>
    <w:basedOn w:val="Normal"/>
    <w:link w:val="Text1Car"/>
    <w:qFormat/>
    <w:rsid w:val="001E0154"/>
    <w:pPr>
      <w:spacing w:before="120" w:after="120"/>
      <w:ind w:left="850"/>
    </w:pPr>
    <w:rPr>
      <w:rFonts w:eastAsia="Times New Roman" w:cs="Times New Roman"/>
      <w:szCs w:val="24"/>
    </w:rPr>
  </w:style>
  <w:style w:type="paragraph" w:customStyle="1" w:styleId="Text2">
    <w:name w:val="Text 2"/>
    <w:basedOn w:val="Normal"/>
    <w:rsid w:val="001E0154"/>
    <w:pPr>
      <w:spacing w:before="120" w:after="120"/>
      <w:ind w:left="850"/>
    </w:pPr>
    <w:rPr>
      <w:rFonts w:eastAsia="Times New Roman" w:cs="Times New Roman"/>
      <w:szCs w:val="24"/>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rsid w:val="001E0154"/>
    <w:rPr>
      <w:rFonts w:eastAsia="Times New Roman" w:cs="Times New Roman"/>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1E0154"/>
    <w:rPr>
      <w:rFonts w:ascii="Times New Roman" w:eastAsia="Times New Roman" w:hAnsi="Times New Roman"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link w:val="BVIfnrChar1"/>
    <w:uiPriority w:val="99"/>
    <w:qFormat/>
    <w:rsid w:val="001E0154"/>
    <w:rPr>
      <w:shd w:val="clear" w:color="auto" w:fill="auto"/>
      <w:vertAlign w:val="superscript"/>
    </w:rPr>
  </w:style>
  <w:style w:type="character" w:styleId="CommentReference">
    <w:name w:val="annotation reference"/>
    <w:uiPriority w:val="99"/>
    <w:qFormat/>
    <w:rsid w:val="001E0154"/>
    <w:rPr>
      <w:sz w:val="16"/>
      <w:szCs w:val="16"/>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ormal"/>
    <w:link w:val="FootnoteReference"/>
    <w:uiPriority w:val="99"/>
    <w:rsid w:val="001E0154"/>
    <w:pPr>
      <w:spacing w:line="240" w:lineRule="exact"/>
    </w:pPr>
    <w:rPr>
      <w:vertAlign w:val="superscript"/>
    </w:rPr>
  </w:style>
  <w:style w:type="paragraph" w:styleId="NormalWeb">
    <w:name w:val="Normal (Web)"/>
    <w:basedOn w:val="Normal"/>
    <w:uiPriority w:val="99"/>
    <w:unhideWhenUsed/>
    <w:rsid w:val="003514A8"/>
    <w:pPr>
      <w:spacing w:before="100" w:beforeAutospacing="1" w:after="100" w:afterAutospacing="1"/>
    </w:pPr>
    <w:rPr>
      <w:rFonts w:eastAsia="Times New Roman" w:cs="Times New Roman"/>
      <w:szCs w:val="24"/>
      <w:lang w:eastAsia="en-GB"/>
    </w:rPr>
  </w:style>
  <w:style w:type="paragraph" w:customStyle="1" w:styleId="Default">
    <w:name w:val="Default"/>
    <w:rsid w:val="00B12C8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rker1">
    <w:name w:val="Marker1"/>
    <w:rsid w:val="003E3C67"/>
    <w:rPr>
      <w:color w:val="008000"/>
      <w:shd w:val="clear" w:color="auto" w:fill="auto"/>
    </w:rPr>
  </w:style>
  <w:style w:type="paragraph" w:styleId="Revision">
    <w:name w:val="Revision"/>
    <w:hidden/>
    <w:uiPriority w:val="99"/>
    <w:semiHidden/>
    <w:rsid w:val="003E3C67"/>
    <w:pPr>
      <w:spacing w:after="0" w:line="240" w:lineRule="auto"/>
    </w:pPr>
    <w:rPr>
      <w:rFonts w:ascii="Times New Roman" w:eastAsia="Times New Roman" w:hAnsi="Times New Roman" w:cs="Times New Roman"/>
      <w:sz w:val="24"/>
      <w:szCs w:val="24"/>
      <w:lang w:eastAsia="en-GB"/>
    </w:rPr>
  </w:style>
  <w:style w:type="paragraph" w:styleId="CommentText">
    <w:name w:val="annotation text"/>
    <w:aliases w:val="Char Char"/>
    <w:basedOn w:val="Normal"/>
    <w:link w:val="CommentTextChar"/>
    <w:qFormat/>
    <w:rsid w:val="00D66381"/>
    <w:rPr>
      <w:rFonts w:eastAsia="Times New Roman" w:cs="Times New Roman"/>
      <w:sz w:val="20"/>
      <w:szCs w:val="20"/>
      <w:lang w:eastAsia="en-GB"/>
    </w:rPr>
  </w:style>
  <w:style w:type="character" w:customStyle="1" w:styleId="CommentTextChar">
    <w:name w:val="Comment Text Char"/>
    <w:aliases w:val="Char Char Char"/>
    <w:basedOn w:val="DefaultParagraphFont"/>
    <w:link w:val="CommentText"/>
    <w:qFormat/>
    <w:rsid w:val="00D66381"/>
    <w:rPr>
      <w:rFonts w:ascii="Times New Roman" w:eastAsia="Times New Roman" w:hAnsi="Times New Roman" w:cs="Times New Roman"/>
      <w:sz w:val="20"/>
      <w:szCs w:val="20"/>
      <w:lang w:eastAsia="en-GB"/>
    </w:rPr>
  </w:style>
  <w:style w:type="paragraph" w:customStyle="1" w:styleId="ColorfulList-Accent11">
    <w:name w:val="Colorful List - Accent 11"/>
    <w:aliases w:val="Dot pt,F5 List Paragraph,List Paragraph1,No Spacing1,List Paragraph Char Char Char,Indicator Text,Colorful List - Accent 111,Numbered Para 1,Bullet 1,Bullet Points,MAIN CONTENT,List Paragraph11,List Paragraph12,List Paragraph2"/>
    <w:basedOn w:val="Normal"/>
    <w:link w:val="ColorfulList-Accent1Char"/>
    <w:uiPriority w:val="34"/>
    <w:qFormat/>
    <w:rsid w:val="00D66381"/>
    <w:pPr>
      <w:ind w:left="720"/>
    </w:pPr>
    <w:rPr>
      <w:rFonts w:ascii="Calibri" w:eastAsia="Calibri" w:hAnsi="Calibri" w:cs="Times New Roman"/>
    </w:rPr>
  </w:style>
  <w:style w:type="character" w:customStyle="1" w:styleId="ColorfulList-Accent1Char">
    <w:name w:val="Colorful List - Accent 1 Char"/>
    <w:aliases w:val="Dot pt Char,F5 List Paragraph Char,List Paragraph1 Char,No Spacing1 Char,List Paragraph Char Char Char Char,Indicator Text Char,Colorful List - Accent 11 Char,Numbered Para 1 Char,Bullet 1 Char,Bullet Points Char,L Char"/>
    <w:link w:val="ColorfulList-Accent11"/>
    <w:uiPriority w:val="34"/>
    <w:qFormat/>
    <w:locked/>
    <w:rsid w:val="00D66381"/>
    <w:rPr>
      <w:rFonts w:ascii="Calibri" w:eastAsia="Calibri" w:hAnsi="Calibri" w:cs="Times New Roman"/>
    </w:rPr>
  </w:style>
  <w:style w:type="paragraph" w:customStyle="1" w:styleId="CorpoA">
    <w:name w:val="Corpo A"/>
    <w:rsid w:val="00D663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customStyle="1" w:styleId="Corpo">
    <w:name w:val="Corpo"/>
    <w:rsid w:val="00D66381"/>
    <w:pPr>
      <w:spacing w:after="0" w:line="240" w:lineRule="auto"/>
    </w:pPr>
    <w:rPr>
      <w:rFonts w:ascii="Times New Roman" w:eastAsia="Times New Roman" w:hAnsi="Times New Roman" w:cs="Times New Roman"/>
      <w:color w:val="000000"/>
      <w:sz w:val="24"/>
      <w:szCs w:val="24"/>
      <w:u w:color="000000"/>
      <w:lang w:eastAsia="en-GB"/>
    </w:rPr>
  </w:style>
  <w:style w:type="paragraph" w:styleId="CommentSubject">
    <w:name w:val="annotation subject"/>
    <w:basedOn w:val="CommentText"/>
    <w:next w:val="CommentText"/>
    <w:link w:val="CommentSubjectChar"/>
    <w:unhideWhenUsed/>
    <w:rsid w:val="00B06AF2"/>
    <w:rPr>
      <w:rFonts w:eastAsiaTheme="minorHAnsi" w:cstheme="minorBidi"/>
      <w:b/>
      <w:bCs/>
      <w:lang w:eastAsia="en-US"/>
    </w:rPr>
  </w:style>
  <w:style w:type="character" w:customStyle="1" w:styleId="CommentSubjectChar">
    <w:name w:val="Comment Subject Char"/>
    <w:basedOn w:val="CommentTextChar"/>
    <w:link w:val="CommentSubject"/>
    <w:rsid w:val="00B06AF2"/>
    <w:rPr>
      <w:rFonts w:ascii="Times New Roman" w:eastAsia="Times New Roman" w:hAnsi="Times New Roman" w:cs="Times New Roman"/>
      <w:b/>
      <w:bCs/>
      <w:sz w:val="20"/>
      <w:szCs w:val="20"/>
      <w:lang w:eastAsia="en-GB"/>
    </w:rPr>
  </w:style>
  <w:style w:type="table" w:styleId="GridTable1Light-Accent1">
    <w:name w:val="Grid Table 1 Light Accent 1"/>
    <w:basedOn w:val="TableNormal"/>
    <w:uiPriority w:val="46"/>
    <w:rsid w:val="00606A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C31F7"/>
    <w:rPr>
      <w:color w:val="954F72" w:themeColor="followedHyperlink"/>
      <w:u w:val="single"/>
    </w:rPr>
  </w:style>
  <w:style w:type="paragraph" w:customStyle="1" w:styleId="paragraph">
    <w:name w:val="paragraph"/>
    <w:basedOn w:val="Normal"/>
    <w:rsid w:val="003E5202"/>
    <w:pPr>
      <w:spacing w:before="100" w:beforeAutospacing="1" w:after="100" w:afterAutospacing="1"/>
    </w:pPr>
    <w:rPr>
      <w:rFonts w:eastAsia="Times New Roman" w:cs="Times New Roman"/>
      <w:szCs w:val="24"/>
      <w:lang w:eastAsia="en-GB"/>
    </w:rPr>
  </w:style>
  <w:style w:type="character" w:customStyle="1" w:styleId="normaltextrun">
    <w:name w:val="normaltextrun"/>
    <w:basedOn w:val="DefaultParagraphFont"/>
    <w:rsid w:val="003E5202"/>
  </w:style>
  <w:style w:type="character" w:customStyle="1" w:styleId="eop">
    <w:name w:val="eop"/>
    <w:basedOn w:val="DefaultParagraphFont"/>
    <w:rsid w:val="003E5202"/>
  </w:style>
  <w:style w:type="paragraph" w:styleId="ListNumber2">
    <w:name w:val="List Number 2"/>
    <w:basedOn w:val="Normal"/>
    <w:unhideWhenUsed/>
    <w:rsid w:val="00A074EA"/>
    <w:pPr>
      <w:numPr>
        <w:numId w:val="6"/>
      </w:numPr>
      <w:spacing w:before="120" w:after="120"/>
    </w:pPr>
    <w:rPr>
      <w:rFonts w:eastAsia="Times New Roman" w:cs="Times New Roman"/>
      <w:szCs w:val="24"/>
      <w:lang w:eastAsia="de-DE"/>
    </w:rPr>
  </w:style>
  <w:style w:type="paragraph" w:customStyle="1" w:styleId="ListNumber2Level2">
    <w:name w:val="List Number 2 (Level 2)"/>
    <w:basedOn w:val="Normal"/>
    <w:rsid w:val="00A074EA"/>
    <w:pPr>
      <w:numPr>
        <w:ilvl w:val="1"/>
        <w:numId w:val="6"/>
      </w:numPr>
      <w:spacing w:before="120" w:after="120"/>
    </w:pPr>
    <w:rPr>
      <w:rFonts w:eastAsia="Times New Roman" w:cs="Times New Roman"/>
      <w:szCs w:val="24"/>
      <w:lang w:eastAsia="de-DE"/>
    </w:rPr>
  </w:style>
  <w:style w:type="paragraph" w:customStyle="1" w:styleId="ListNumber2Level3">
    <w:name w:val="List Number 2 (Level 3)"/>
    <w:basedOn w:val="Normal"/>
    <w:rsid w:val="00A074EA"/>
    <w:pPr>
      <w:numPr>
        <w:ilvl w:val="2"/>
        <w:numId w:val="6"/>
      </w:numPr>
      <w:spacing w:before="120" w:after="120"/>
    </w:pPr>
    <w:rPr>
      <w:rFonts w:eastAsia="Times New Roman" w:cs="Times New Roman"/>
      <w:szCs w:val="24"/>
      <w:lang w:eastAsia="de-DE"/>
    </w:rPr>
  </w:style>
  <w:style w:type="paragraph" w:customStyle="1" w:styleId="ListNumber2Level4">
    <w:name w:val="List Number 2 (Level 4)"/>
    <w:basedOn w:val="Normal"/>
    <w:rsid w:val="00A074EA"/>
    <w:pPr>
      <w:numPr>
        <w:ilvl w:val="3"/>
        <w:numId w:val="6"/>
      </w:numPr>
      <w:spacing w:before="120" w:after="120"/>
    </w:pPr>
    <w:rPr>
      <w:rFonts w:eastAsia="Times New Roman" w:cs="Times New Roman"/>
      <w:szCs w:val="24"/>
      <w:lang w:eastAsia="de-DE"/>
    </w:rPr>
  </w:style>
  <w:style w:type="paragraph" w:styleId="Caption">
    <w:name w:val="caption"/>
    <w:basedOn w:val="Normal"/>
    <w:next w:val="Normal"/>
    <w:uiPriority w:val="35"/>
    <w:unhideWhenUsed/>
    <w:qFormat/>
    <w:rsid w:val="00DC6541"/>
    <w:pPr>
      <w:spacing w:after="200"/>
    </w:pPr>
    <w:rPr>
      <w:rFonts w:asciiTheme="minorHAnsi" w:hAnsiTheme="minorHAnsi"/>
      <w:b/>
      <w:bCs/>
      <w:color w:val="5B9BD5" w:themeColor="accent1"/>
      <w:sz w:val="18"/>
      <w:szCs w:val="18"/>
    </w:rPr>
  </w:style>
  <w:style w:type="paragraph" w:customStyle="1" w:styleId="ListNumber1">
    <w:name w:val="List Number 1"/>
    <w:basedOn w:val="Text1"/>
    <w:rsid w:val="00897992"/>
    <w:pPr>
      <w:numPr>
        <w:numId w:val="9"/>
      </w:numPr>
    </w:pPr>
    <w:rPr>
      <w:szCs w:val="20"/>
      <w:lang w:eastAsia="zh-CN"/>
    </w:rPr>
  </w:style>
  <w:style w:type="paragraph" w:customStyle="1" w:styleId="ListNumber1Level2">
    <w:name w:val="List Number 1 (Level 2)"/>
    <w:basedOn w:val="Text1"/>
    <w:rsid w:val="00897992"/>
    <w:pPr>
      <w:numPr>
        <w:ilvl w:val="1"/>
        <w:numId w:val="9"/>
      </w:numPr>
    </w:pPr>
    <w:rPr>
      <w:lang w:eastAsia="de-DE"/>
    </w:rPr>
  </w:style>
  <w:style w:type="paragraph" w:customStyle="1" w:styleId="ListNumber1Level3">
    <w:name w:val="List Number 1 (Level 3)"/>
    <w:basedOn w:val="Text1"/>
    <w:rsid w:val="00897992"/>
    <w:pPr>
      <w:numPr>
        <w:ilvl w:val="2"/>
        <w:numId w:val="9"/>
      </w:numPr>
    </w:pPr>
    <w:rPr>
      <w:szCs w:val="20"/>
      <w:lang w:eastAsia="zh-CN"/>
    </w:rPr>
  </w:style>
  <w:style w:type="paragraph" w:customStyle="1" w:styleId="ListNumber1Level4">
    <w:name w:val="List Number 1 (Level 4)"/>
    <w:basedOn w:val="Text1"/>
    <w:rsid w:val="00897992"/>
    <w:pPr>
      <w:numPr>
        <w:ilvl w:val="3"/>
        <w:numId w:val="9"/>
      </w:numPr>
    </w:pPr>
    <w:rPr>
      <w:szCs w:val="20"/>
      <w:lang w:eastAsia="zh-CN"/>
    </w:rPr>
  </w:style>
  <w:style w:type="paragraph" w:styleId="EndnoteText">
    <w:name w:val="endnote text"/>
    <w:basedOn w:val="Normal"/>
    <w:link w:val="EndnoteTextChar"/>
    <w:uiPriority w:val="99"/>
    <w:semiHidden/>
    <w:unhideWhenUsed/>
    <w:rsid w:val="001C3CCE"/>
    <w:rPr>
      <w:sz w:val="20"/>
      <w:szCs w:val="20"/>
    </w:rPr>
  </w:style>
  <w:style w:type="character" w:customStyle="1" w:styleId="EndnoteTextChar">
    <w:name w:val="Endnote Text Char"/>
    <w:basedOn w:val="DefaultParagraphFont"/>
    <w:link w:val="EndnoteText"/>
    <w:uiPriority w:val="99"/>
    <w:semiHidden/>
    <w:rsid w:val="001C3CCE"/>
    <w:rPr>
      <w:rFonts w:ascii="Times New Roman" w:hAnsi="Times New Roman"/>
      <w:sz w:val="20"/>
      <w:szCs w:val="20"/>
    </w:rPr>
  </w:style>
  <w:style w:type="character" w:styleId="EndnoteReference">
    <w:name w:val="endnote reference"/>
    <w:basedOn w:val="DefaultParagraphFont"/>
    <w:uiPriority w:val="99"/>
    <w:semiHidden/>
    <w:unhideWhenUsed/>
    <w:rsid w:val="001C3CCE"/>
    <w:rPr>
      <w:vertAlign w:val="superscript"/>
    </w:rPr>
  </w:style>
  <w:style w:type="character" w:styleId="Emphasis">
    <w:name w:val="Emphasis"/>
    <w:qFormat/>
    <w:rsid w:val="007D1BA8"/>
    <w:rPr>
      <w:i/>
      <w:iCs/>
    </w:rPr>
  </w:style>
  <w:style w:type="character" w:customStyle="1" w:styleId="UnresolvedMention1">
    <w:name w:val="Unresolved Mention1"/>
    <w:basedOn w:val="DefaultParagraphFont"/>
    <w:uiPriority w:val="99"/>
    <w:semiHidden/>
    <w:unhideWhenUsed/>
    <w:rsid w:val="006A6F9B"/>
    <w:rPr>
      <w:color w:val="605E5C"/>
      <w:shd w:val="clear" w:color="auto" w:fill="E1DFDD"/>
    </w:rPr>
  </w:style>
  <w:style w:type="paragraph" w:customStyle="1" w:styleId="Fichedinformationtitre">
    <w:name w:val="Fiche d'information titre"/>
    <w:basedOn w:val="Normal"/>
    <w:next w:val="Normal"/>
    <w:rsid w:val="00AB6F8E"/>
    <w:pPr>
      <w:spacing w:before="120" w:after="120"/>
      <w:jc w:val="center"/>
    </w:pPr>
    <w:rPr>
      <w:rFonts w:eastAsia="Times New Roman" w:cs="Times New Roman"/>
      <w:b/>
      <w:szCs w:val="24"/>
      <w:u w:val="single"/>
    </w:rPr>
  </w:style>
  <w:style w:type="character" w:customStyle="1" w:styleId="Text1Car">
    <w:name w:val="Text 1 Car"/>
    <w:link w:val="Text1"/>
    <w:rsid w:val="00C000C0"/>
    <w:rPr>
      <w:rFonts w:ascii="Times New Roman" w:eastAsia="Times New Roman" w:hAnsi="Times New Roman" w:cs="Times New Roman"/>
      <w:sz w:val="24"/>
      <w:szCs w:val="24"/>
    </w:rPr>
  </w:style>
  <w:style w:type="character" w:styleId="Strong">
    <w:name w:val="Strong"/>
    <w:basedOn w:val="DefaultParagraphFont"/>
    <w:uiPriority w:val="22"/>
    <w:qFormat/>
    <w:rsid w:val="00DB0150"/>
    <w:rPr>
      <w:b/>
      <w:bCs/>
    </w:rPr>
  </w:style>
  <w:style w:type="paragraph" w:customStyle="1" w:styleId="AutoCorrect">
    <w:name w:val="AutoCorrect"/>
    <w:rsid w:val="000F68AF"/>
    <w:rPr>
      <w:rFonts w:eastAsiaTheme="minorEastAsia"/>
      <w:lang w:eastAsia="en-GB"/>
    </w:rPr>
  </w:style>
  <w:style w:type="paragraph" w:customStyle="1" w:styleId="Style1">
    <w:name w:val="Style1"/>
    <w:basedOn w:val="CommentText"/>
    <w:link w:val="Style1Char"/>
    <w:qFormat/>
    <w:rsid w:val="00E204C7"/>
    <w:pPr>
      <w:shd w:val="clear" w:color="auto" w:fill="B4C6E7" w:themeFill="accent5" w:themeFillTint="66"/>
    </w:pPr>
  </w:style>
  <w:style w:type="paragraph" w:customStyle="1" w:styleId="Style2">
    <w:name w:val="Style2"/>
    <w:basedOn w:val="Normal"/>
    <w:link w:val="Style2Char"/>
    <w:qFormat/>
    <w:rsid w:val="004522C9"/>
    <w:pPr>
      <w:shd w:val="clear" w:color="auto" w:fill="B4C6E7" w:themeFill="accent5" w:themeFillTint="66"/>
    </w:pPr>
    <w:rPr>
      <w:rFonts w:cs="Times New Roman"/>
      <w:sz w:val="20"/>
      <w:szCs w:val="20"/>
      <w:lang w:val="en-US"/>
    </w:rPr>
  </w:style>
  <w:style w:type="character" w:customStyle="1" w:styleId="Style1Char">
    <w:name w:val="Style1 Char"/>
    <w:basedOn w:val="CommentTextChar"/>
    <w:link w:val="Style1"/>
    <w:rsid w:val="00E204C7"/>
    <w:rPr>
      <w:rFonts w:ascii="Times New Roman" w:eastAsia="Times New Roman" w:hAnsi="Times New Roman" w:cs="Times New Roman"/>
      <w:sz w:val="20"/>
      <w:szCs w:val="20"/>
      <w:shd w:val="clear" w:color="auto" w:fill="B4C6E7" w:themeFill="accent5" w:themeFillTint="66"/>
      <w:lang w:eastAsia="en-GB"/>
    </w:rPr>
  </w:style>
  <w:style w:type="character" w:customStyle="1" w:styleId="Style2Char">
    <w:name w:val="Style2 Char"/>
    <w:basedOn w:val="DefaultParagraphFont"/>
    <w:link w:val="Style2"/>
    <w:rsid w:val="004522C9"/>
    <w:rPr>
      <w:rFonts w:ascii="Times New Roman" w:hAnsi="Times New Roman" w:cs="Times New Roman"/>
      <w:sz w:val="20"/>
      <w:szCs w:val="20"/>
      <w:shd w:val="clear" w:color="auto" w:fill="B4C6E7" w:themeFill="accent5" w:themeFillTint="66"/>
      <w:lang w:val="en-US"/>
    </w:rPr>
  </w:style>
  <w:style w:type="character" w:customStyle="1" w:styleId="UnresolvedMention2">
    <w:name w:val="Unresolved Mention2"/>
    <w:basedOn w:val="DefaultParagraphFont"/>
    <w:uiPriority w:val="99"/>
    <w:semiHidden/>
    <w:unhideWhenUsed/>
    <w:rsid w:val="00344490"/>
    <w:rPr>
      <w:color w:val="605E5C"/>
      <w:shd w:val="clear" w:color="auto" w:fill="E1DFDD"/>
    </w:rPr>
  </w:style>
  <w:style w:type="character" w:customStyle="1" w:styleId="UnresolvedMention3">
    <w:name w:val="Unresolved Mention3"/>
    <w:basedOn w:val="DefaultParagraphFont"/>
    <w:uiPriority w:val="99"/>
    <w:semiHidden/>
    <w:unhideWhenUsed/>
    <w:rsid w:val="00461C15"/>
    <w:rPr>
      <w:color w:val="605E5C"/>
      <w:shd w:val="clear" w:color="auto" w:fill="E1DFDD"/>
    </w:rPr>
  </w:style>
  <w:style w:type="character" w:customStyle="1" w:styleId="UnresolvedMention4">
    <w:name w:val="Unresolved Mention4"/>
    <w:basedOn w:val="DefaultParagraphFont"/>
    <w:uiPriority w:val="99"/>
    <w:semiHidden/>
    <w:unhideWhenUsed/>
    <w:rsid w:val="00A669C0"/>
    <w:rPr>
      <w:color w:val="605E5C"/>
      <w:shd w:val="clear" w:color="auto" w:fill="E1DFDD"/>
    </w:rPr>
  </w:style>
  <w:style w:type="character" w:customStyle="1" w:styleId="UnresolvedMention5">
    <w:name w:val="Unresolved Mention5"/>
    <w:basedOn w:val="DefaultParagraphFont"/>
    <w:uiPriority w:val="99"/>
    <w:semiHidden/>
    <w:unhideWhenUsed/>
    <w:rsid w:val="00374530"/>
    <w:rPr>
      <w:color w:val="605E5C"/>
      <w:shd w:val="clear" w:color="auto" w:fill="E1DFDD"/>
    </w:rPr>
  </w:style>
  <w:style w:type="character" w:styleId="UnresolvedMention">
    <w:name w:val="Unresolved Mention"/>
    <w:basedOn w:val="DefaultParagraphFont"/>
    <w:uiPriority w:val="99"/>
    <w:semiHidden/>
    <w:unhideWhenUsed/>
    <w:rsid w:val="00723E96"/>
    <w:rPr>
      <w:color w:val="605E5C"/>
      <w:shd w:val="clear" w:color="auto" w:fill="E1DFDD"/>
    </w:rPr>
  </w:style>
  <w:style w:type="character" w:customStyle="1" w:styleId="cf01">
    <w:name w:val="cf01"/>
    <w:basedOn w:val="DefaultParagraphFont"/>
    <w:rsid w:val="00523B6F"/>
    <w:rPr>
      <w:rFonts w:ascii="Segoe UI" w:hAnsi="Segoe UI" w:cs="Segoe UI" w:hint="default"/>
      <w:sz w:val="18"/>
      <w:szCs w:val="18"/>
    </w:rPr>
  </w:style>
  <w:style w:type="character" w:styleId="Mention">
    <w:name w:val="Mention"/>
    <w:basedOn w:val="DefaultParagraphFont"/>
    <w:uiPriority w:val="99"/>
    <w:unhideWhenUsed/>
    <w:rsid w:val="00E530CF"/>
    <w:rPr>
      <w:color w:val="2B579A"/>
      <w:shd w:val="clear" w:color="auto" w:fill="E1DFDD"/>
    </w:rPr>
  </w:style>
  <w:style w:type="paragraph" w:styleId="NoSpacing">
    <w:name w:val="No Spacing"/>
    <w:uiPriority w:val="1"/>
    <w:qFormat/>
    <w:rsid w:val="007C0C1E"/>
    <w:pPr>
      <w:spacing w:after="0" w:line="240" w:lineRule="auto"/>
      <w:jc w:val="both"/>
    </w:pPr>
    <w:rPr>
      <w:rFonts w:ascii="Times New Roman" w:hAnsi="Times New Roman"/>
      <w:sz w:val="24"/>
      <w:lang w:val="en-IE"/>
    </w:rPr>
  </w:style>
  <w:style w:type="character" w:customStyle="1" w:styleId="ListParagraphChar">
    <w:name w:val="List Paragraph Char"/>
    <w:aliases w:val="References Char,List1 Char,1st level - Bullet List Paragraph Char,Lettre d'introduction Char,Paragrafo elenco Char,Normal bullet 2 Char,Medium Grid 1 - Accent 21 Char,FooterText Char,Bullet list Char,Bullet List Paragraph Char,6 Char"/>
    <w:link w:val="ListParagraph"/>
    <w:uiPriority w:val="34"/>
    <w:qFormat/>
    <w:locked/>
    <w:rsid w:val="00A25B87"/>
    <w:rPr>
      <w:rFonts w:ascii="Times New Roman" w:hAnsi="Times New Roman"/>
      <w:sz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78">
      <w:bodyDiv w:val="1"/>
      <w:marLeft w:val="0"/>
      <w:marRight w:val="0"/>
      <w:marTop w:val="0"/>
      <w:marBottom w:val="0"/>
      <w:divBdr>
        <w:top w:val="none" w:sz="0" w:space="0" w:color="auto"/>
        <w:left w:val="none" w:sz="0" w:space="0" w:color="auto"/>
        <w:bottom w:val="none" w:sz="0" w:space="0" w:color="auto"/>
        <w:right w:val="none" w:sz="0" w:space="0" w:color="auto"/>
      </w:divBdr>
    </w:div>
    <w:div w:id="19552744">
      <w:bodyDiv w:val="1"/>
      <w:marLeft w:val="0"/>
      <w:marRight w:val="0"/>
      <w:marTop w:val="0"/>
      <w:marBottom w:val="0"/>
      <w:divBdr>
        <w:top w:val="none" w:sz="0" w:space="0" w:color="auto"/>
        <w:left w:val="none" w:sz="0" w:space="0" w:color="auto"/>
        <w:bottom w:val="none" w:sz="0" w:space="0" w:color="auto"/>
        <w:right w:val="none" w:sz="0" w:space="0" w:color="auto"/>
      </w:divBdr>
    </w:div>
    <w:div w:id="39986761">
      <w:bodyDiv w:val="1"/>
      <w:marLeft w:val="0"/>
      <w:marRight w:val="0"/>
      <w:marTop w:val="0"/>
      <w:marBottom w:val="0"/>
      <w:divBdr>
        <w:top w:val="none" w:sz="0" w:space="0" w:color="auto"/>
        <w:left w:val="none" w:sz="0" w:space="0" w:color="auto"/>
        <w:bottom w:val="none" w:sz="0" w:space="0" w:color="auto"/>
        <w:right w:val="none" w:sz="0" w:space="0" w:color="auto"/>
      </w:divBdr>
    </w:div>
    <w:div w:id="40374120">
      <w:bodyDiv w:val="1"/>
      <w:marLeft w:val="0"/>
      <w:marRight w:val="0"/>
      <w:marTop w:val="0"/>
      <w:marBottom w:val="0"/>
      <w:divBdr>
        <w:top w:val="none" w:sz="0" w:space="0" w:color="auto"/>
        <w:left w:val="none" w:sz="0" w:space="0" w:color="auto"/>
        <w:bottom w:val="none" w:sz="0" w:space="0" w:color="auto"/>
        <w:right w:val="none" w:sz="0" w:space="0" w:color="auto"/>
      </w:divBdr>
    </w:div>
    <w:div w:id="51320841">
      <w:bodyDiv w:val="1"/>
      <w:marLeft w:val="0"/>
      <w:marRight w:val="0"/>
      <w:marTop w:val="0"/>
      <w:marBottom w:val="0"/>
      <w:divBdr>
        <w:top w:val="none" w:sz="0" w:space="0" w:color="auto"/>
        <w:left w:val="none" w:sz="0" w:space="0" w:color="auto"/>
        <w:bottom w:val="none" w:sz="0" w:space="0" w:color="auto"/>
        <w:right w:val="none" w:sz="0" w:space="0" w:color="auto"/>
      </w:divBdr>
    </w:div>
    <w:div w:id="58094741">
      <w:bodyDiv w:val="1"/>
      <w:marLeft w:val="0"/>
      <w:marRight w:val="0"/>
      <w:marTop w:val="0"/>
      <w:marBottom w:val="0"/>
      <w:divBdr>
        <w:top w:val="none" w:sz="0" w:space="0" w:color="auto"/>
        <w:left w:val="none" w:sz="0" w:space="0" w:color="auto"/>
        <w:bottom w:val="none" w:sz="0" w:space="0" w:color="auto"/>
        <w:right w:val="none" w:sz="0" w:space="0" w:color="auto"/>
      </w:divBdr>
    </w:div>
    <w:div w:id="5990940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110441638">
      <w:bodyDiv w:val="1"/>
      <w:marLeft w:val="0"/>
      <w:marRight w:val="0"/>
      <w:marTop w:val="0"/>
      <w:marBottom w:val="0"/>
      <w:divBdr>
        <w:top w:val="none" w:sz="0" w:space="0" w:color="auto"/>
        <w:left w:val="none" w:sz="0" w:space="0" w:color="auto"/>
        <w:bottom w:val="none" w:sz="0" w:space="0" w:color="auto"/>
        <w:right w:val="none" w:sz="0" w:space="0" w:color="auto"/>
      </w:divBdr>
    </w:div>
    <w:div w:id="144586882">
      <w:bodyDiv w:val="1"/>
      <w:marLeft w:val="0"/>
      <w:marRight w:val="0"/>
      <w:marTop w:val="0"/>
      <w:marBottom w:val="0"/>
      <w:divBdr>
        <w:top w:val="none" w:sz="0" w:space="0" w:color="auto"/>
        <w:left w:val="none" w:sz="0" w:space="0" w:color="auto"/>
        <w:bottom w:val="none" w:sz="0" w:space="0" w:color="auto"/>
        <w:right w:val="none" w:sz="0" w:space="0" w:color="auto"/>
      </w:divBdr>
      <w:divsChild>
        <w:div w:id="187792513">
          <w:marLeft w:val="274"/>
          <w:marRight w:val="0"/>
          <w:marTop w:val="0"/>
          <w:marBottom w:val="0"/>
          <w:divBdr>
            <w:top w:val="none" w:sz="0" w:space="0" w:color="auto"/>
            <w:left w:val="none" w:sz="0" w:space="0" w:color="auto"/>
            <w:bottom w:val="none" w:sz="0" w:space="0" w:color="auto"/>
            <w:right w:val="none" w:sz="0" w:space="0" w:color="auto"/>
          </w:divBdr>
        </w:div>
        <w:div w:id="539168363">
          <w:marLeft w:val="274"/>
          <w:marRight w:val="0"/>
          <w:marTop w:val="0"/>
          <w:marBottom w:val="0"/>
          <w:divBdr>
            <w:top w:val="none" w:sz="0" w:space="0" w:color="auto"/>
            <w:left w:val="none" w:sz="0" w:space="0" w:color="auto"/>
            <w:bottom w:val="none" w:sz="0" w:space="0" w:color="auto"/>
            <w:right w:val="none" w:sz="0" w:space="0" w:color="auto"/>
          </w:divBdr>
        </w:div>
        <w:div w:id="729233232">
          <w:marLeft w:val="274"/>
          <w:marRight w:val="0"/>
          <w:marTop w:val="20"/>
          <w:marBottom w:val="20"/>
          <w:divBdr>
            <w:top w:val="none" w:sz="0" w:space="0" w:color="auto"/>
            <w:left w:val="none" w:sz="0" w:space="0" w:color="auto"/>
            <w:bottom w:val="none" w:sz="0" w:space="0" w:color="auto"/>
            <w:right w:val="none" w:sz="0" w:space="0" w:color="auto"/>
          </w:divBdr>
        </w:div>
        <w:div w:id="1530678609">
          <w:marLeft w:val="274"/>
          <w:marRight w:val="0"/>
          <w:marTop w:val="0"/>
          <w:marBottom w:val="0"/>
          <w:divBdr>
            <w:top w:val="none" w:sz="0" w:space="0" w:color="auto"/>
            <w:left w:val="none" w:sz="0" w:space="0" w:color="auto"/>
            <w:bottom w:val="none" w:sz="0" w:space="0" w:color="auto"/>
            <w:right w:val="none" w:sz="0" w:space="0" w:color="auto"/>
          </w:divBdr>
        </w:div>
        <w:div w:id="1557935681">
          <w:marLeft w:val="274"/>
          <w:marRight w:val="0"/>
          <w:marTop w:val="0"/>
          <w:marBottom w:val="0"/>
          <w:divBdr>
            <w:top w:val="none" w:sz="0" w:space="0" w:color="auto"/>
            <w:left w:val="none" w:sz="0" w:space="0" w:color="auto"/>
            <w:bottom w:val="none" w:sz="0" w:space="0" w:color="auto"/>
            <w:right w:val="none" w:sz="0" w:space="0" w:color="auto"/>
          </w:divBdr>
        </w:div>
      </w:divsChild>
    </w:div>
    <w:div w:id="158204135">
      <w:bodyDiv w:val="1"/>
      <w:marLeft w:val="0"/>
      <w:marRight w:val="0"/>
      <w:marTop w:val="0"/>
      <w:marBottom w:val="0"/>
      <w:divBdr>
        <w:top w:val="none" w:sz="0" w:space="0" w:color="auto"/>
        <w:left w:val="none" w:sz="0" w:space="0" w:color="auto"/>
        <w:bottom w:val="none" w:sz="0" w:space="0" w:color="auto"/>
        <w:right w:val="none" w:sz="0" w:space="0" w:color="auto"/>
      </w:divBdr>
    </w:div>
    <w:div w:id="187185953">
      <w:bodyDiv w:val="1"/>
      <w:marLeft w:val="0"/>
      <w:marRight w:val="0"/>
      <w:marTop w:val="0"/>
      <w:marBottom w:val="0"/>
      <w:divBdr>
        <w:top w:val="none" w:sz="0" w:space="0" w:color="auto"/>
        <w:left w:val="none" w:sz="0" w:space="0" w:color="auto"/>
        <w:bottom w:val="none" w:sz="0" w:space="0" w:color="auto"/>
        <w:right w:val="none" w:sz="0" w:space="0" w:color="auto"/>
      </w:divBdr>
    </w:div>
    <w:div w:id="208810253">
      <w:bodyDiv w:val="1"/>
      <w:marLeft w:val="0"/>
      <w:marRight w:val="0"/>
      <w:marTop w:val="0"/>
      <w:marBottom w:val="0"/>
      <w:divBdr>
        <w:top w:val="none" w:sz="0" w:space="0" w:color="auto"/>
        <w:left w:val="none" w:sz="0" w:space="0" w:color="auto"/>
        <w:bottom w:val="none" w:sz="0" w:space="0" w:color="auto"/>
        <w:right w:val="none" w:sz="0" w:space="0" w:color="auto"/>
      </w:divBdr>
    </w:div>
    <w:div w:id="228616508">
      <w:bodyDiv w:val="1"/>
      <w:marLeft w:val="0"/>
      <w:marRight w:val="0"/>
      <w:marTop w:val="0"/>
      <w:marBottom w:val="0"/>
      <w:divBdr>
        <w:top w:val="none" w:sz="0" w:space="0" w:color="auto"/>
        <w:left w:val="none" w:sz="0" w:space="0" w:color="auto"/>
        <w:bottom w:val="none" w:sz="0" w:space="0" w:color="auto"/>
        <w:right w:val="none" w:sz="0" w:space="0" w:color="auto"/>
      </w:divBdr>
    </w:div>
    <w:div w:id="263223087">
      <w:bodyDiv w:val="1"/>
      <w:marLeft w:val="0"/>
      <w:marRight w:val="0"/>
      <w:marTop w:val="0"/>
      <w:marBottom w:val="0"/>
      <w:divBdr>
        <w:top w:val="none" w:sz="0" w:space="0" w:color="auto"/>
        <w:left w:val="none" w:sz="0" w:space="0" w:color="auto"/>
        <w:bottom w:val="none" w:sz="0" w:space="0" w:color="auto"/>
        <w:right w:val="none" w:sz="0" w:space="0" w:color="auto"/>
      </w:divBdr>
    </w:div>
    <w:div w:id="324935624">
      <w:bodyDiv w:val="1"/>
      <w:marLeft w:val="0"/>
      <w:marRight w:val="0"/>
      <w:marTop w:val="0"/>
      <w:marBottom w:val="0"/>
      <w:divBdr>
        <w:top w:val="none" w:sz="0" w:space="0" w:color="auto"/>
        <w:left w:val="none" w:sz="0" w:space="0" w:color="auto"/>
        <w:bottom w:val="none" w:sz="0" w:space="0" w:color="auto"/>
        <w:right w:val="none" w:sz="0" w:space="0" w:color="auto"/>
      </w:divBdr>
      <w:divsChild>
        <w:div w:id="764762985">
          <w:marLeft w:val="360"/>
          <w:marRight w:val="0"/>
          <w:marTop w:val="0"/>
          <w:marBottom w:val="360"/>
          <w:divBdr>
            <w:top w:val="none" w:sz="0" w:space="0" w:color="auto"/>
            <w:left w:val="none" w:sz="0" w:space="0" w:color="auto"/>
            <w:bottom w:val="none" w:sz="0" w:space="0" w:color="auto"/>
            <w:right w:val="none" w:sz="0" w:space="0" w:color="auto"/>
          </w:divBdr>
        </w:div>
        <w:div w:id="980840543">
          <w:marLeft w:val="360"/>
          <w:marRight w:val="0"/>
          <w:marTop w:val="0"/>
          <w:marBottom w:val="360"/>
          <w:divBdr>
            <w:top w:val="none" w:sz="0" w:space="0" w:color="auto"/>
            <w:left w:val="none" w:sz="0" w:space="0" w:color="auto"/>
            <w:bottom w:val="none" w:sz="0" w:space="0" w:color="auto"/>
            <w:right w:val="none" w:sz="0" w:space="0" w:color="auto"/>
          </w:divBdr>
        </w:div>
        <w:div w:id="1772045052">
          <w:marLeft w:val="360"/>
          <w:marRight w:val="0"/>
          <w:marTop w:val="0"/>
          <w:marBottom w:val="360"/>
          <w:divBdr>
            <w:top w:val="none" w:sz="0" w:space="0" w:color="auto"/>
            <w:left w:val="none" w:sz="0" w:space="0" w:color="auto"/>
            <w:bottom w:val="none" w:sz="0" w:space="0" w:color="auto"/>
            <w:right w:val="none" w:sz="0" w:space="0" w:color="auto"/>
          </w:divBdr>
        </w:div>
        <w:div w:id="1983582840">
          <w:marLeft w:val="360"/>
          <w:marRight w:val="0"/>
          <w:marTop w:val="0"/>
          <w:marBottom w:val="360"/>
          <w:divBdr>
            <w:top w:val="none" w:sz="0" w:space="0" w:color="auto"/>
            <w:left w:val="none" w:sz="0" w:space="0" w:color="auto"/>
            <w:bottom w:val="none" w:sz="0" w:space="0" w:color="auto"/>
            <w:right w:val="none" w:sz="0" w:space="0" w:color="auto"/>
          </w:divBdr>
        </w:div>
        <w:div w:id="2104522313">
          <w:marLeft w:val="360"/>
          <w:marRight w:val="0"/>
          <w:marTop w:val="0"/>
          <w:marBottom w:val="360"/>
          <w:divBdr>
            <w:top w:val="none" w:sz="0" w:space="0" w:color="auto"/>
            <w:left w:val="none" w:sz="0" w:space="0" w:color="auto"/>
            <w:bottom w:val="none" w:sz="0" w:space="0" w:color="auto"/>
            <w:right w:val="none" w:sz="0" w:space="0" w:color="auto"/>
          </w:divBdr>
        </w:div>
      </w:divsChild>
    </w:div>
    <w:div w:id="357779984">
      <w:bodyDiv w:val="1"/>
      <w:marLeft w:val="0"/>
      <w:marRight w:val="0"/>
      <w:marTop w:val="0"/>
      <w:marBottom w:val="0"/>
      <w:divBdr>
        <w:top w:val="none" w:sz="0" w:space="0" w:color="auto"/>
        <w:left w:val="none" w:sz="0" w:space="0" w:color="auto"/>
        <w:bottom w:val="none" w:sz="0" w:space="0" w:color="auto"/>
        <w:right w:val="none" w:sz="0" w:space="0" w:color="auto"/>
      </w:divBdr>
    </w:div>
    <w:div w:id="368796791">
      <w:bodyDiv w:val="1"/>
      <w:marLeft w:val="0"/>
      <w:marRight w:val="0"/>
      <w:marTop w:val="0"/>
      <w:marBottom w:val="0"/>
      <w:divBdr>
        <w:top w:val="none" w:sz="0" w:space="0" w:color="auto"/>
        <w:left w:val="none" w:sz="0" w:space="0" w:color="auto"/>
        <w:bottom w:val="none" w:sz="0" w:space="0" w:color="auto"/>
        <w:right w:val="none" w:sz="0" w:space="0" w:color="auto"/>
      </w:divBdr>
    </w:div>
    <w:div w:id="426269329">
      <w:bodyDiv w:val="1"/>
      <w:marLeft w:val="0"/>
      <w:marRight w:val="0"/>
      <w:marTop w:val="0"/>
      <w:marBottom w:val="0"/>
      <w:divBdr>
        <w:top w:val="none" w:sz="0" w:space="0" w:color="auto"/>
        <w:left w:val="none" w:sz="0" w:space="0" w:color="auto"/>
        <w:bottom w:val="none" w:sz="0" w:space="0" w:color="auto"/>
        <w:right w:val="none" w:sz="0" w:space="0" w:color="auto"/>
      </w:divBdr>
    </w:div>
    <w:div w:id="437214423">
      <w:bodyDiv w:val="1"/>
      <w:marLeft w:val="0"/>
      <w:marRight w:val="0"/>
      <w:marTop w:val="0"/>
      <w:marBottom w:val="0"/>
      <w:divBdr>
        <w:top w:val="none" w:sz="0" w:space="0" w:color="auto"/>
        <w:left w:val="none" w:sz="0" w:space="0" w:color="auto"/>
        <w:bottom w:val="none" w:sz="0" w:space="0" w:color="auto"/>
        <w:right w:val="none" w:sz="0" w:space="0" w:color="auto"/>
      </w:divBdr>
    </w:div>
    <w:div w:id="445000942">
      <w:bodyDiv w:val="1"/>
      <w:marLeft w:val="0"/>
      <w:marRight w:val="0"/>
      <w:marTop w:val="0"/>
      <w:marBottom w:val="0"/>
      <w:divBdr>
        <w:top w:val="none" w:sz="0" w:space="0" w:color="auto"/>
        <w:left w:val="none" w:sz="0" w:space="0" w:color="auto"/>
        <w:bottom w:val="none" w:sz="0" w:space="0" w:color="auto"/>
        <w:right w:val="none" w:sz="0" w:space="0" w:color="auto"/>
      </w:divBdr>
    </w:div>
    <w:div w:id="449858451">
      <w:bodyDiv w:val="1"/>
      <w:marLeft w:val="0"/>
      <w:marRight w:val="0"/>
      <w:marTop w:val="0"/>
      <w:marBottom w:val="0"/>
      <w:divBdr>
        <w:top w:val="none" w:sz="0" w:space="0" w:color="auto"/>
        <w:left w:val="none" w:sz="0" w:space="0" w:color="auto"/>
        <w:bottom w:val="none" w:sz="0" w:space="0" w:color="auto"/>
        <w:right w:val="none" w:sz="0" w:space="0" w:color="auto"/>
      </w:divBdr>
    </w:div>
    <w:div w:id="515580477">
      <w:bodyDiv w:val="1"/>
      <w:marLeft w:val="0"/>
      <w:marRight w:val="0"/>
      <w:marTop w:val="0"/>
      <w:marBottom w:val="0"/>
      <w:divBdr>
        <w:top w:val="none" w:sz="0" w:space="0" w:color="auto"/>
        <w:left w:val="none" w:sz="0" w:space="0" w:color="auto"/>
        <w:bottom w:val="none" w:sz="0" w:space="0" w:color="auto"/>
        <w:right w:val="none" w:sz="0" w:space="0" w:color="auto"/>
      </w:divBdr>
    </w:div>
    <w:div w:id="613634036">
      <w:bodyDiv w:val="1"/>
      <w:marLeft w:val="0"/>
      <w:marRight w:val="0"/>
      <w:marTop w:val="0"/>
      <w:marBottom w:val="0"/>
      <w:divBdr>
        <w:top w:val="none" w:sz="0" w:space="0" w:color="auto"/>
        <w:left w:val="none" w:sz="0" w:space="0" w:color="auto"/>
        <w:bottom w:val="none" w:sz="0" w:space="0" w:color="auto"/>
        <w:right w:val="none" w:sz="0" w:space="0" w:color="auto"/>
      </w:divBdr>
    </w:div>
    <w:div w:id="673066600">
      <w:bodyDiv w:val="1"/>
      <w:marLeft w:val="0"/>
      <w:marRight w:val="0"/>
      <w:marTop w:val="0"/>
      <w:marBottom w:val="0"/>
      <w:divBdr>
        <w:top w:val="none" w:sz="0" w:space="0" w:color="auto"/>
        <w:left w:val="none" w:sz="0" w:space="0" w:color="auto"/>
        <w:bottom w:val="none" w:sz="0" w:space="0" w:color="auto"/>
        <w:right w:val="none" w:sz="0" w:space="0" w:color="auto"/>
      </w:divBdr>
    </w:div>
    <w:div w:id="675960451">
      <w:bodyDiv w:val="1"/>
      <w:marLeft w:val="0"/>
      <w:marRight w:val="0"/>
      <w:marTop w:val="0"/>
      <w:marBottom w:val="0"/>
      <w:divBdr>
        <w:top w:val="none" w:sz="0" w:space="0" w:color="auto"/>
        <w:left w:val="none" w:sz="0" w:space="0" w:color="auto"/>
        <w:bottom w:val="none" w:sz="0" w:space="0" w:color="auto"/>
        <w:right w:val="none" w:sz="0" w:space="0" w:color="auto"/>
      </w:divBdr>
      <w:divsChild>
        <w:div w:id="75253819">
          <w:marLeft w:val="360"/>
          <w:marRight w:val="0"/>
          <w:marTop w:val="0"/>
          <w:marBottom w:val="360"/>
          <w:divBdr>
            <w:top w:val="none" w:sz="0" w:space="0" w:color="auto"/>
            <w:left w:val="none" w:sz="0" w:space="0" w:color="auto"/>
            <w:bottom w:val="none" w:sz="0" w:space="0" w:color="auto"/>
            <w:right w:val="none" w:sz="0" w:space="0" w:color="auto"/>
          </w:divBdr>
        </w:div>
        <w:div w:id="260721752">
          <w:marLeft w:val="360"/>
          <w:marRight w:val="0"/>
          <w:marTop w:val="0"/>
          <w:marBottom w:val="360"/>
          <w:divBdr>
            <w:top w:val="none" w:sz="0" w:space="0" w:color="auto"/>
            <w:left w:val="none" w:sz="0" w:space="0" w:color="auto"/>
            <w:bottom w:val="none" w:sz="0" w:space="0" w:color="auto"/>
            <w:right w:val="none" w:sz="0" w:space="0" w:color="auto"/>
          </w:divBdr>
        </w:div>
        <w:div w:id="826748981">
          <w:marLeft w:val="360"/>
          <w:marRight w:val="0"/>
          <w:marTop w:val="0"/>
          <w:marBottom w:val="360"/>
          <w:divBdr>
            <w:top w:val="none" w:sz="0" w:space="0" w:color="auto"/>
            <w:left w:val="none" w:sz="0" w:space="0" w:color="auto"/>
            <w:bottom w:val="none" w:sz="0" w:space="0" w:color="auto"/>
            <w:right w:val="none" w:sz="0" w:space="0" w:color="auto"/>
          </w:divBdr>
        </w:div>
        <w:div w:id="995304882">
          <w:marLeft w:val="360"/>
          <w:marRight w:val="0"/>
          <w:marTop w:val="0"/>
          <w:marBottom w:val="360"/>
          <w:divBdr>
            <w:top w:val="none" w:sz="0" w:space="0" w:color="auto"/>
            <w:left w:val="none" w:sz="0" w:space="0" w:color="auto"/>
            <w:bottom w:val="none" w:sz="0" w:space="0" w:color="auto"/>
            <w:right w:val="none" w:sz="0" w:space="0" w:color="auto"/>
          </w:divBdr>
        </w:div>
      </w:divsChild>
    </w:div>
    <w:div w:id="711151670">
      <w:bodyDiv w:val="1"/>
      <w:marLeft w:val="0"/>
      <w:marRight w:val="0"/>
      <w:marTop w:val="0"/>
      <w:marBottom w:val="0"/>
      <w:divBdr>
        <w:top w:val="none" w:sz="0" w:space="0" w:color="auto"/>
        <w:left w:val="none" w:sz="0" w:space="0" w:color="auto"/>
        <w:bottom w:val="none" w:sz="0" w:space="0" w:color="auto"/>
        <w:right w:val="none" w:sz="0" w:space="0" w:color="auto"/>
      </w:divBdr>
    </w:div>
    <w:div w:id="736712110">
      <w:bodyDiv w:val="1"/>
      <w:marLeft w:val="0"/>
      <w:marRight w:val="0"/>
      <w:marTop w:val="0"/>
      <w:marBottom w:val="0"/>
      <w:divBdr>
        <w:top w:val="none" w:sz="0" w:space="0" w:color="auto"/>
        <w:left w:val="none" w:sz="0" w:space="0" w:color="auto"/>
        <w:bottom w:val="none" w:sz="0" w:space="0" w:color="auto"/>
        <w:right w:val="none" w:sz="0" w:space="0" w:color="auto"/>
      </w:divBdr>
    </w:div>
    <w:div w:id="737825004">
      <w:bodyDiv w:val="1"/>
      <w:marLeft w:val="0"/>
      <w:marRight w:val="0"/>
      <w:marTop w:val="0"/>
      <w:marBottom w:val="0"/>
      <w:divBdr>
        <w:top w:val="none" w:sz="0" w:space="0" w:color="auto"/>
        <w:left w:val="none" w:sz="0" w:space="0" w:color="auto"/>
        <w:bottom w:val="none" w:sz="0" w:space="0" w:color="auto"/>
        <w:right w:val="none" w:sz="0" w:space="0" w:color="auto"/>
      </w:divBdr>
    </w:div>
    <w:div w:id="757366546">
      <w:bodyDiv w:val="1"/>
      <w:marLeft w:val="0"/>
      <w:marRight w:val="0"/>
      <w:marTop w:val="0"/>
      <w:marBottom w:val="0"/>
      <w:divBdr>
        <w:top w:val="none" w:sz="0" w:space="0" w:color="auto"/>
        <w:left w:val="none" w:sz="0" w:space="0" w:color="auto"/>
        <w:bottom w:val="none" w:sz="0" w:space="0" w:color="auto"/>
        <w:right w:val="none" w:sz="0" w:space="0" w:color="auto"/>
      </w:divBdr>
    </w:div>
    <w:div w:id="762147841">
      <w:bodyDiv w:val="1"/>
      <w:marLeft w:val="0"/>
      <w:marRight w:val="0"/>
      <w:marTop w:val="0"/>
      <w:marBottom w:val="0"/>
      <w:divBdr>
        <w:top w:val="none" w:sz="0" w:space="0" w:color="auto"/>
        <w:left w:val="none" w:sz="0" w:space="0" w:color="auto"/>
        <w:bottom w:val="none" w:sz="0" w:space="0" w:color="auto"/>
        <w:right w:val="none" w:sz="0" w:space="0" w:color="auto"/>
      </w:divBdr>
    </w:div>
    <w:div w:id="763110243">
      <w:bodyDiv w:val="1"/>
      <w:marLeft w:val="0"/>
      <w:marRight w:val="0"/>
      <w:marTop w:val="0"/>
      <w:marBottom w:val="0"/>
      <w:divBdr>
        <w:top w:val="none" w:sz="0" w:space="0" w:color="auto"/>
        <w:left w:val="none" w:sz="0" w:space="0" w:color="auto"/>
        <w:bottom w:val="none" w:sz="0" w:space="0" w:color="auto"/>
        <w:right w:val="none" w:sz="0" w:space="0" w:color="auto"/>
      </w:divBdr>
    </w:div>
    <w:div w:id="797333115">
      <w:bodyDiv w:val="1"/>
      <w:marLeft w:val="0"/>
      <w:marRight w:val="0"/>
      <w:marTop w:val="0"/>
      <w:marBottom w:val="0"/>
      <w:divBdr>
        <w:top w:val="none" w:sz="0" w:space="0" w:color="auto"/>
        <w:left w:val="none" w:sz="0" w:space="0" w:color="auto"/>
        <w:bottom w:val="none" w:sz="0" w:space="0" w:color="auto"/>
        <w:right w:val="none" w:sz="0" w:space="0" w:color="auto"/>
      </w:divBdr>
    </w:div>
    <w:div w:id="798377029">
      <w:bodyDiv w:val="1"/>
      <w:marLeft w:val="0"/>
      <w:marRight w:val="0"/>
      <w:marTop w:val="0"/>
      <w:marBottom w:val="0"/>
      <w:divBdr>
        <w:top w:val="none" w:sz="0" w:space="0" w:color="auto"/>
        <w:left w:val="none" w:sz="0" w:space="0" w:color="auto"/>
        <w:bottom w:val="none" w:sz="0" w:space="0" w:color="auto"/>
        <w:right w:val="none" w:sz="0" w:space="0" w:color="auto"/>
      </w:divBdr>
    </w:div>
    <w:div w:id="832572738">
      <w:bodyDiv w:val="1"/>
      <w:marLeft w:val="0"/>
      <w:marRight w:val="0"/>
      <w:marTop w:val="0"/>
      <w:marBottom w:val="0"/>
      <w:divBdr>
        <w:top w:val="none" w:sz="0" w:space="0" w:color="auto"/>
        <w:left w:val="none" w:sz="0" w:space="0" w:color="auto"/>
        <w:bottom w:val="none" w:sz="0" w:space="0" w:color="auto"/>
        <w:right w:val="none" w:sz="0" w:space="0" w:color="auto"/>
      </w:divBdr>
    </w:div>
    <w:div w:id="834345529">
      <w:bodyDiv w:val="1"/>
      <w:marLeft w:val="0"/>
      <w:marRight w:val="0"/>
      <w:marTop w:val="0"/>
      <w:marBottom w:val="0"/>
      <w:divBdr>
        <w:top w:val="none" w:sz="0" w:space="0" w:color="auto"/>
        <w:left w:val="none" w:sz="0" w:space="0" w:color="auto"/>
        <w:bottom w:val="none" w:sz="0" w:space="0" w:color="auto"/>
        <w:right w:val="none" w:sz="0" w:space="0" w:color="auto"/>
      </w:divBdr>
    </w:div>
    <w:div w:id="846560262">
      <w:bodyDiv w:val="1"/>
      <w:marLeft w:val="0"/>
      <w:marRight w:val="0"/>
      <w:marTop w:val="0"/>
      <w:marBottom w:val="0"/>
      <w:divBdr>
        <w:top w:val="none" w:sz="0" w:space="0" w:color="auto"/>
        <w:left w:val="none" w:sz="0" w:space="0" w:color="auto"/>
        <w:bottom w:val="none" w:sz="0" w:space="0" w:color="auto"/>
        <w:right w:val="none" w:sz="0" w:space="0" w:color="auto"/>
      </w:divBdr>
    </w:div>
    <w:div w:id="875048736">
      <w:bodyDiv w:val="1"/>
      <w:marLeft w:val="0"/>
      <w:marRight w:val="0"/>
      <w:marTop w:val="0"/>
      <w:marBottom w:val="0"/>
      <w:divBdr>
        <w:top w:val="none" w:sz="0" w:space="0" w:color="auto"/>
        <w:left w:val="none" w:sz="0" w:space="0" w:color="auto"/>
        <w:bottom w:val="none" w:sz="0" w:space="0" w:color="auto"/>
        <w:right w:val="none" w:sz="0" w:space="0" w:color="auto"/>
      </w:divBdr>
      <w:divsChild>
        <w:div w:id="601182835">
          <w:marLeft w:val="274"/>
          <w:marRight w:val="0"/>
          <w:marTop w:val="20"/>
          <w:marBottom w:val="20"/>
          <w:divBdr>
            <w:top w:val="none" w:sz="0" w:space="0" w:color="auto"/>
            <w:left w:val="none" w:sz="0" w:space="0" w:color="auto"/>
            <w:bottom w:val="none" w:sz="0" w:space="0" w:color="auto"/>
            <w:right w:val="none" w:sz="0" w:space="0" w:color="auto"/>
          </w:divBdr>
        </w:div>
        <w:div w:id="967513813">
          <w:marLeft w:val="274"/>
          <w:marRight w:val="0"/>
          <w:marTop w:val="20"/>
          <w:marBottom w:val="20"/>
          <w:divBdr>
            <w:top w:val="none" w:sz="0" w:space="0" w:color="auto"/>
            <w:left w:val="none" w:sz="0" w:space="0" w:color="auto"/>
            <w:bottom w:val="none" w:sz="0" w:space="0" w:color="auto"/>
            <w:right w:val="none" w:sz="0" w:space="0" w:color="auto"/>
          </w:divBdr>
        </w:div>
        <w:div w:id="1329284022">
          <w:marLeft w:val="274"/>
          <w:marRight w:val="0"/>
          <w:marTop w:val="20"/>
          <w:marBottom w:val="20"/>
          <w:divBdr>
            <w:top w:val="none" w:sz="0" w:space="0" w:color="auto"/>
            <w:left w:val="none" w:sz="0" w:space="0" w:color="auto"/>
            <w:bottom w:val="none" w:sz="0" w:space="0" w:color="auto"/>
            <w:right w:val="none" w:sz="0" w:space="0" w:color="auto"/>
          </w:divBdr>
        </w:div>
      </w:divsChild>
    </w:div>
    <w:div w:id="895237558">
      <w:bodyDiv w:val="1"/>
      <w:marLeft w:val="0"/>
      <w:marRight w:val="0"/>
      <w:marTop w:val="0"/>
      <w:marBottom w:val="0"/>
      <w:divBdr>
        <w:top w:val="none" w:sz="0" w:space="0" w:color="auto"/>
        <w:left w:val="none" w:sz="0" w:space="0" w:color="auto"/>
        <w:bottom w:val="none" w:sz="0" w:space="0" w:color="auto"/>
        <w:right w:val="none" w:sz="0" w:space="0" w:color="auto"/>
      </w:divBdr>
    </w:div>
    <w:div w:id="900406458">
      <w:bodyDiv w:val="1"/>
      <w:marLeft w:val="0"/>
      <w:marRight w:val="0"/>
      <w:marTop w:val="0"/>
      <w:marBottom w:val="0"/>
      <w:divBdr>
        <w:top w:val="none" w:sz="0" w:space="0" w:color="auto"/>
        <w:left w:val="none" w:sz="0" w:space="0" w:color="auto"/>
        <w:bottom w:val="none" w:sz="0" w:space="0" w:color="auto"/>
        <w:right w:val="none" w:sz="0" w:space="0" w:color="auto"/>
      </w:divBdr>
    </w:div>
    <w:div w:id="906257339">
      <w:bodyDiv w:val="1"/>
      <w:marLeft w:val="0"/>
      <w:marRight w:val="0"/>
      <w:marTop w:val="0"/>
      <w:marBottom w:val="0"/>
      <w:divBdr>
        <w:top w:val="none" w:sz="0" w:space="0" w:color="auto"/>
        <w:left w:val="none" w:sz="0" w:space="0" w:color="auto"/>
        <w:bottom w:val="none" w:sz="0" w:space="0" w:color="auto"/>
        <w:right w:val="none" w:sz="0" w:space="0" w:color="auto"/>
      </w:divBdr>
    </w:div>
    <w:div w:id="906307231">
      <w:bodyDiv w:val="1"/>
      <w:marLeft w:val="0"/>
      <w:marRight w:val="0"/>
      <w:marTop w:val="0"/>
      <w:marBottom w:val="0"/>
      <w:divBdr>
        <w:top w:val="none" w:sz="0" w:space="0" w:color="auto"/>
        <w:left w:val="none" w:sz="0" w:space="0" w:color="auto"/>
        <w:bottom w:val="none" w:sz="0" w:space="0" w:color="auto"/>
        <w:right w:val="none" w:sz="0" w:space="0" w:color="auto"/>
      </w:divBdr>
    </w:div>
    <w:div w:id="914052350">
      <w:bodyDiv w:val="1"/>
      <w:marLeft w:val="0"/>
      <w:marRight w:val="0"/>
      <w:marTop w:val="0"/>
      <w:marBottom w:val="0"/>
      <w:divBdr>
        <w:top w:val="none" w:sz="0" w:space="0" w:color="auto"/>
        <w:left w:val="none" w:sz="0" w:space="0" w:color="auto"/>
        <w:bottom w:val="none" w:sz="0" w:space="0" w:color="auto"/>
        <w:right w:val="none" w:sz="0" w:space="0" w:color="auto"/>
      </w:divBdr>
    </w:div>
    <w:div w:id="915549509">
      <w:bodyDiv w:val="1"/>
      <w:marLeft w:val="0"/>
      <w:marRight w:val="0"/>
      <w:marTop w:val="0"/>
      <w:marBottom w:val="0"/>
      <w:divBdr>
        <w:top w:val="none" w:sz="0" w:space="0" w:color="auto"/>
        <w:left w:val="none" w:sz="0" w:space="0" w:color="auto"/>
        <w:bottom w:val="none" w:sz="0" w:space="0" w:color="auto"/>
        <w:right w:val="none" w:sz="0" w:space="0" w:color="auto"/>
      </w:divBdr>
    </w:div>
    <w:div w:id="928387883">
      <w:bodyDiv w:val="1"/>
      <w:marLeft w:val="0"/>
      <w:marRight w:val="0"/>
      <w:marTop w:val="0"/>
      <w:marBottom w:val="0"/>
      <w:divBdr>
        <w:top w:val="none" w:sz="0" w:space="0" w:color="auto"/>
        <w:left w:val="none" w:sz="0" w:space="0" w:color="auto"/>
        <w:bottom w:val="none" w:sz="0" w:space="0" w:color="auto"/>
        <w:right w:val="none" w:sz="0" w:space="0" w:color="auto"/>
      </w:divBdr>
    </w:div>
    <w:div w:id="967665610">
      <w:bodyDiv w:val="1"/>
      <w:marLeft w:val="0"/>
      <w:marRight w:val="0"/>
      <w:marTop w:val="0"/>
      <w:marBottom w:val="0"/>
      <w:divBdr>
        <w:top w:val="none" w:sz="0" w:space="0" w:color="auto"/>
        <w:left w:val="none" w:sz="0" w:space="0" w:color="auto"/>
        <w:bottom w:val="none" w:sz="0" w:space="0" w:color="auto"/>
        <w:right w:val="none" w:sz="0" w:space="0" w:color="auto"/>
      </w:divBdr>
    </w:div>
    <w:div w:id="974680705">
      <w:bodyDiv w:val="1"/>
      <w:marLeft w:val="0"/>
      <w:marRight w:val="0"/>
      <w:marTop w:val="0"/>
      <w:marBottom w:val="0"/>
      <w:divBdr>
        <w:top w:val="none" w:sz="0" w:space="0" w:color="auto"/>
        <w:left w:val="none" w:sz="0" w:space="0" w:color="auto"/>
        <w:bottom w:val="none" w:sz="0" w:space="0" w:color="auto"/>
        <w:right w:val="none" w:sz="0" w:space="0" w:color="auto"/>
      </w:divBdr>
    </w:div>
    <w:div w:id="981274106">
      <w:bodyDiv w:val="1"/>
      <w:marLeft w:val="0"/>
      <w:marRight w:val="0"/>
      <w:marTop w:val="0"/>
      <w:marBottom w:val="0"/>
      <w:divBdr>
        <w:top w:val="none" w:sz="0" w:space="0" w:color="auto"/>
        <w:left w:val="none" w:sz="0" w:space="0" w:color="auto"/>
        <w:bottom w:val="none" w:sz="0" w:space="0" w:color="auto"/>
        <w:right w:val="none" w:sz="0" w:space="0" w:color="auto"/>
      </w:divBdr>
    </w:div>
    <w:div w:id="1061639584">
      <w:bodyDiv w:val="1"/>
      <w:marLeft w:val="0"/>
      <w:marRight w:val="0"/>
      <w:marTop w:val="0"/>
      <w:marBottom w:val="0"/>
      <w:divBdr>
        <w:top w:val="none" w:sz="0" w:space="0" w:color="auto"/>
        <w:left w:val="none" w:sz="0" w:space="0" w:color="auto"/>
        <w:bottom w:val="none" w:sz="0" w:space="0" w:color="auto"/>
        <w:right w:val="none" w:sz="0" w:space="0" w:color="auto"/>
      </w:divBdr>
    </w:div>
    <w:div w:id="1094548942">
      <w:bodyDiv w:val="1"/>
      <w:marLeft w:val="0"/>
      <w:marRight w:val="0"/>
      <w:marTop w:val="0"/>
      <w:marBottom w:val="0"/>
      <w:divBdr>
        <w:top w:val="none" w:sz="0" w:space="0" w:color="auto"/>
        <w:left w:val="none" w:sz="0" w:space="0" w:color="auto"/>
        <w:bottom w:val="none" w:sz="0" w:space="0" w:color="auto"/>
        <w:right w:val="none" w:sz="0" w:space="0" w:color="auto"/>
      </w:divBdr>
    </w:div>
    <w:div w:id="1144935169">
      <w:bodyDiv w:val="1"/>
      <w:marLeft w:val="0"/>
      <w:marRight w:val="0"/>
      <w:marTop w:val="0"/>
      <w:marBottom w:val="0"/>
      <w:divBdr>
        <w:top w:val="none" w:sz="0" w:space="0" w:color="auto"/>
        <w:left w:val="none" w:sz="0" w:space="0" w:color="auto"/>
        <w:bottom w:val="none" w:sz="0" w:space="0" w:color="auto"/>
        <w:right w:val="none" w:sz="0" w:space="0" w:color="auto"/>
      </w:divBdr>
    </w:div>
    <w:div w:id="1150055603">
      <w:bodyDiv w:val="1"/>
      <w:marLeft w:val="0"/>
      <w:marRight w:val="0"/>
      <w:marTop w:val="0"/>
      <w:marBottom w:val="0"/>
      <w:divBdr>
        <w:top w:val="none" w:sz="0" w:space="0" w:color="auto"/>
        <w:left w:val="none" w:sz="0" w:space="0" w:color="auto"/>
        <w:bottom w:val="none" w:sz="0" w:space="0" w:color="auto"/>
        <w:right w:val="none" w:sz="0" w:space="0" w:color="auto"/>
      </w:divBdr>
    </w:div>
    <w:div w:id="1169834316">
      <w:bodyDiv w:val="1"/>
      <w:marLeft w:val="0"/>
      <w:marRight w:val="0"/>
      <w:marTop w:val="0"/>
      <w:marBottom w:val="0"/>
      <w:divBdr>
        <w:top w:val="none" w:sz="0" w:space="0" w:color="auto"/>
        <w:left w:val="none" w:sz="0" w:space="0" w:color="auto"/>
        <w:bottom w:val="none" w:sz="0" w:space="0" w:color="auto"/>
        <w:right w:val="none" w:sz="0" w:space="0" w:color="auto"/>
      </w:divBdr>
    </w:div>
    <w:div w:id="1173036716">
      <w:bodyDiv w:val="1"/>
      <w:marLeft w:val="0"/>
      <w:marRight w:val="0"/>
      <w:marTop w:val="0"/>
      <w:marBottom w:val="0"/>
      <w:divBdr>
        <w:top w:val="none" w:sz="0" w:space="0" w:color="auto"/>
        <w:left w:val="none" w:sz="0" w:space="0" w:color="auto"/>
        <w:bottom w:val="none" w:sz="0" w:space="0" w:color="auto"/>
        <w:right w:val="none" w:sz="0" w:space="0" w:color="auto"/>
      </w:divBdr>
    </w:div>
    <w:div w:id="1189179827">
      <w:bodyDiv w:val="1"/>
      <w:marLeft w:val="0"/>
      <w:marRight w:val="0"/>
      <w:marTop w:val="0"/>
      <w:marBottom w:val="0"/>
      <w:divBdr>
        <w:top w:val="none" w:sz="0" w:space="0" w:color="auto"/>
        <w:left w:val="none" w:sz="0" w:space="0" w:color="auto"/>
        <w:bottom w:val="none" w:sz="0" w:space="0" w:color="auto"/>
        <w:right w:val="none" w:sz="0" w:space="0" w:color="auto"/>
      </w:divBdr>
    </w:div>
    <w:div w:id="1193375743">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88732524">
      <w:bodyDiv w:val="1"/>
      <w:marLeft w:val="0"/>
      <w:marRight w:val="0"/>
      <w:marTop w:val="0"/>
      <w:marBottom w:val="0"/>
      <w:divBdr>
        <w:top w:val="none" w:sz="0" w:space="0" w:color="auto"/>
        <w:left w:val="none" w:sz="0" w:space="0" w:color="auto"/>
        <w:bottom w:val="none" w:sz="0" w:space="0" w:color="auto"/>
        <w:right w:val="none" w:sz="0" w:space="0" w:color="auto"/>
      </w:divBdr>
    </w:div>
    <w:div w:id="1298490536">
      <w:bodyDiv w:val="1"/>
      <w:marLeft w:val="0"/>
      <w:marRight w:val="0"/>
      <w:marTop w:val="0"/>
      <w:marBottom w:val="0"/>
      <w:divBdr>
        <w:top w:val="none" w:sz="0" w:space="0" w:color="auto"/>
        <w:left w:val="none" w:sz="0" w:space="0" w:color="auto"/>
        <w:bottom w:val="none" w:sz="0" w:space="0" w:color="auto"/>
        <w:right w:val="none" w:sz="0" w:space="0" w:color="auto"/>
      </w:divBdr>
    </w:div>
    <w:div w:id="1301299133">
      <w:bodyDiv w:val="1"/>
      <w:marLeft w:val="0"/>
      <w:marRight w:val="0"/>
      <w:marTop w:val="0"/>
      <w:marBottom w:val="0"/>
      <w:divBdr>
        <w:top w:val="none" w:sz="0" w:space="0" w:color="auto"/>
        <w:left w:val="none" w:sz="0" w:space="0" w:color="auto"/>
        <w:bottom w:val="none" w:sz="0" w:space="0" w:color="auto"/>
        <w:right w:val="none" w:sz="0" w:space="0" w:color="auto"/>
      </w:divBdr>
    </w:div>
    <w:div w:id="1323702713">
      <w:bodyDiv w:val="1"/>
      <w:marLeft w:val="0"/>
      <w:marRight w:val="0"/>
      <w:marTop w:val="0"/>
      <w:marBottom w:val="0"/>
      <w:divBdr>
        <w:top w:val="none" w:sz="0" w:space="0" w:color="auto"/>
        <w:left w:val="none" w:sz="0" w:space="0" w:color="auto"/>
        <w:bottom w:val="none" w:sz="0" w:space="0" w:color="auto"/>
        <w:right w:val="none" w:sz="0" w:space="0" w:color="auto"/>
      </w:divBdr>
      <w:divsChild>
        <w:div w:id="145702814">
          <w:marLeft w:val="0"/>
          <w:marRight w:val="0"/>
          <w:marTop w:val="0"/>
          <w:marBottom w:val="0"/>
          <w:divBdr>
            <w:top w:val="none" w:sz="0" w:space="0" w:color="auto"/>
            <w:left w:val="none" w:sz="0" w:space="0" w:color="auto"/>
            <w:bottom w:val="none" w:sz="0" w:space="0" w:color="auto"/>
            <w:right w:val="none" w:sz="0" w:space="0" w:color="auto"/>
          </w:divBdr>
        </w:div>
        <w:div w:id="407309916">
          <w:marLeft w:val="0"/>
          <w:marRight w:val="0"/>
          <w:marTop w:val="0"/>
          <w:marBottom w:val="0"/>
          <w:divBdr>
            <w:top w:val="none" w:sz="0" w:space="0" w:color="auto"/>
            <w:left w:val="none" w:sz="0" w:space="0" w:color="auto"/>
            <w:bottom w:val="none" w:sz="0" w:space="0" w:color="auto"/>
            <w:right w:val="none" w:sz="0" w:space="0" w:color="auto"/>
          </w:divBdr>
        </w:div>
        <w:div w:id="859927235">
          <w:marLeft w:val="0"/>
          <w:marRight w:val="0"/>
          <w:marTop w:val="0"/>
          <w:marBottom w:val="0"/>
          <w:divBdr>
            <w:top w:val="none" w:sz="0" w:space="0" w:color="auto"/>
            <w:left w:val="none" w:sz="0" w:space="0" w:color="auto"/>
            <w:bottom w:val="none" w:sz="0" w:space="0" w:color="auto"/>
            <w:right w:val="none" w:sz="0" w:space="0" w:color="auto"/>
          </w:divBdr>
        </w:div>
        <w:div w:id="1207983020">
          <w:marLeft w:val="0"/>
          <w:marRight w:val="0"/>
          <w:marTop w:val="0"/>
          <w:marBottom w:val="0"/>
          <w:divBdr>
            <w:top w:val="none" w:sz="0" w:space="0" w:color="auto"/>
            <w:left w:val="none" w:sz="0" w:space="0" w:color="auto"/>
            <w:bottom w:val="none" w:sz="0" w:space="0" w:color="auto"/>
            <w:right w:val="none" w:sz="0" w:space="0" w:color="auto"/>
          </w:divBdr>
        </w:div>
        <w:div w:id="1806854967">
          <w:marLeft w:val="0"/>
          <w:marRight w:val="0"/>
          <w:marTop w:val="0"/>
          <w:marBottom w:val="0"/>
          <w:divBdr>
            <w:top w:val="none" w:sz="0" w:space="0" w:color="auto"/>
            <w:left w:val="none" w:sz="0" w:space="0" w:color="auto"/>
            <w:bottom w:val="none" w:sz="0" w:space="0" w:color="auto"/>
            <w:right w:val="none" w:sz="0" w:space="0" w:color="auto"/>
          </w:divBdr>
        </w:div>
      </w:divsChild>
    </w:div>
    <w:div w:id="1335112512">
      <w:bodyDiv w:val="1"/>
      <w:marLeft w:val="0"/>
      <w:marRight w:val="0"/>
      <w:marTop w:val="0"/>
      <w:marBottom w:val="0"/>
      <w:divBdr>
        <w:top w:val="none" w:sz="0" w:space="0" w:color="auto"/>
        <w:left w:val="none" w:sz="0" w:space="0" w:color="auto"/>
        <w:bottom w:val="none" w:sz="0" w:space="0" w:color="auto"/>
        <w:right w:val="none" w:sz="0" w:space="0" w:color="auto"/>
      </w:divBdr>
    </w:div>
    <w:div w:id="1350370090">
      <w:bodyDiv w:val="1"/>
      <w:marLeft w:val="0"/>
      <w:marRight w:val="0"/>
      <w:marTop w:val="0"/>
      <w:marBottom w:val="0"/>
      <w:divBdr>
        <w:top w:val="none" w:sz="0" w:space="0" w:color="auto"/>
        <w:left w:val="none" w:sz="0" w:space="0" w:color="auto"/>
        <w:bottom w:val="none" w:sz="0" w:space="0" w:color="auto"/>
        <w:right w:val="none" w:sz="0" w:space="0" w:color="auto"/>
      </w:divBdr>
    </w:div>
    <w:div w:id="1381782729">
      <w:bodyDiv w:val="1"/>
      <w:marLeft w:val="0"/>
      <w:marRight w:val="0"/>
      <w:marTop w:val="0"/>
      <w:marBottom w:val="0"/>
      <w:divBdr>
        <w:top w:val="none" w:sz="0" w:space="0" w:color="auto"/>
        <w:left w:val="none" w:sz="0" w:space="0" w:color="auto"/>
        <w:bottom w:val="none" w:sz="0" w:space="0" w:color="auto"/>
        <w:right w:val="none" w:sz="0" w:space="0" w:color="auto"/>
      </w:divBdr>
    </w:div>
    <w:div w:id="1411073449">
      <w:bodyDiv w:val="1"/>
      <w:marLeft w:val="0"/>
      <w:marRight w:val="0"/>
      <w:marTop w:val="0"/>
      <w:marBottom w:val="0"/>
      <w:divBdr>
        <w:top w:val="none" w:sz="0" w:space="0" w:color="auto"/>
        <w:left w:val="none" w:sz="0" w:space="0" w:color="auto"/>
        <w:bottom w:val="none" w:sz="0" w:space="0" w:color="auto"/>
        <w:right w:val="none" w:sz="0" w:space="0" w:color="auto"/>
      </w:divBdr>
    </w:div>
    <w:div w:id="1418938339">
      <w:bodyDiv w:val="1"/>
      <w:marLeft w:val="0"/>
      <w:marRight w:val="0"/>
      <w:marTop w:val="0"/>
      <w:marBottom w:val="0"/>
      <w:divBdr>
        <w:top w:val="none" w:sz="0" w:space="0" w:color="auto"/>
        <w:left w:val="none" w:sz="0" w:space="0" w:color="auto"/>
        <w:bottom w:val="none" w:sz="0" w:space="0" w:color="auto"/>
        <w:right w:val="none" w:sz="0" w:space="0" w:color="auto"/>
      </w:divBdr>
    </w:div>
    <w:div w:id="1422026283">
      <w:bodyDiv w:val="1"/>
      <w:marLeft w:val="0"/>
      <w:marRight w:val="0"/>
      <w:marTop w:val="0"/>
      <w:marBottom w:val="0"/>
      <w:divBdr>
        <w:top w:val="none" w:sz="0" w:space="0" w:color="auto"/>
        <w:left w:val="none" w:sz="0" w:space="0" w:color="auto"/>
        <w:bottom w:val="none" w:sz="0" w:space="0" w:color="auto"/>
        <w:right w:val="none" w:sz="0" w:space="0" w:color="auto"/>
      </w:divBdr>
      <w:divsChild>
        <w:div w:id="425152935">
          <w:marLeft w:val="0"/>
          <w:marRight w:val="0"/>
          <w:marTop w:val="0"/>
          <w:marBottom w:val="0"/>
          <w:divBdr>
            <w:top w:val="none" w:sz="0" w:space="0" w:color="auto"/>
            <w:left w:val="none" w:sz="0" w:space="0" w:color="auto"/>
            <w:bottom w:val="none" w:sz="0" w:space="0" w:color="auto"/>
            <w:right w:val="none" w:sz="0" w:space="0" w:color="auto"/>
          </w:divBdr>
        </w:div>
        <w:div w:id="427123298">
          <w:marLeft w:val="0"/>
          <w:marRight w:val="0"/>
          <w:marTop w:val="0"/>
          <w:marBottom w:val="0"/>
          <w:divBdr>
            <w:top w:val="none" w:sz="0" w:space="0" w:color="auto"/>
            <w:left w:val="none" w:sz="0" w:space="0" w:color="auto"/>
            <w:bottom w:val="none" w:sz="0" w:space="0" w:color="auto"/>
            <w:right w:val="none" w:sz="0" w:space="0" w:color="auto"/>
          </w:divBdr>
        </w:div>
        <w:div w:id="854879317">
          <w:marLeft w:val="0"/>
          <w:marRight w:val="0"/>
          <w:marTop w:val="0"/>
          <w:marBottom w:val="0"/>
          <w:divBdr>
            <w:top w:val="none" w:sz="0" w:space="0" w:color="auto"/>
            <w:left w:val="none" w:sz="0" w:space="0" w:color="auto"/>
            <w:bottom w:val="none" w:sz="0" w:space="0" w:color="auto"/>
            <w:right w:val="none" w:sz="0" w:space="0" w:color="auto"/>
          </w:divBdr>
        </w:div>
        <w:div w:id="1642539844">
          <w:marLeft w:val="0"/>
          <w:marRight w:val="0"/>
          <w:marTop w:val="0"/>
          <w:marBottom w:val="0"/>
          <w:divBdr>
            <w:top w:val="none" w:sz="0" w:space="0" w:color="auto"/>
            <w:left w:val="none" w:sz="0" w:space="0" w:color="auto"/>
            <w:bottom w:val="none" w:sz="0" w:space="0" w:color="auto"/>
            <w:right w:val="none" w:sz="0" w:space="0" w:color="auto"/>
          </w:divBdr>
        </w:div>
        <w:div w:id="1847942028">
          <w:marLeft w:val="0"/>
          <w:marRight w:val="0"/>
          <w:marTop w:val="0"/>
          <w:marBottom w:val="0"/>
          <w:divBdr>
            <w:top w:val="none" w:sz="0" w:space="0" w:color="auto"/>
            <w:left w:val="none" w:sz="0" w:space="0" w:color="auto"/>
            <w:bottom w:val="none" w:sz="0" w:space="0" w:color="auto"/>
            <w:right w:val="none" w:sz="0" w:space="0" w:color="auto"/>
          </w:divBdr>
        </w:div>
        <w:div w:id="1910535492">
          <w:marLeft w:val="0"/>
          <w:marRight w:val="0"/>
          <w:marTop w:val="0"/>
          <w:marBottom w:val="0"/>
          <w:divBdr>
            <w:top w:val="none" w:sz="0" w:space="0" w:color="auto"/>
            <w:left w:val="none" w:sz="0" w:space="0" w:color="auto"/>
            <w:bottom w:val="none" w:sz="0" w:space="0" w:color="auto"/>
            <w:right w:val="none" w:sz="0" w:space="0" w:color="auto"/>
          </w:divBdr>
        </w:div>
      </w:divsChild>
    </w:div>
    <w:div w:id="1430614597">
      <w:bodyDiv w:val="1"/>
      <w:marLeft w:val="0"/>
      <w:marRight w:val="0"/>
      <w:marTop w:val="0"/>
      <w:marBottom w:val="0"/>
      <w:divBdr>
        <w:top w:val="none" w:sz="0" w:space="0" w:color="auto"/>
        <w:left w:val="none" w:sz="0" w:space="0" w:color="auto"/>
        <w:bottom w:val="none" w:sz="0" w:space="0" w:color="auto"/>
        <w:right w:val="none" w:sz="0" w:space="0" w:color="auto"/>
      </w:divBdr>
    </w:div>
    <w:div w:id="1432044012">
      <w:bodyDiv w:val="1"/>
      <w:marLeft w:val="0"/>
      <w:marRight w:val="0"/>
      <w:marTop w:val="0"/>
      <w:marBottom w:val="0"/>
      <w:divBdr>
        <w:top w:val="none" w:sz="0" w:space="0" w:color="auto"/>
        <w:left w:val="none" w:sz="0" w:space="0" w:color="auto"/>
        <w:bottom w:val="none" w:sz="0" w:space="0" w:color="auto"/>
        <w:right w:val="none" w:sz="0" w:space="0" w:color="auto"/>
      </w:divBdr>
    </w:div>
    <w:div w:id="1441877316">
      <w:bodyDiv w:val="1"/>
      <w:marLeft w:val="0"/>
      <w:marRight w:val="0"/>
      <w:marTop w:val="0"/>
      <w:marBottom w:val="0"/>
      <w:divBdr>
        <w:top w:val="none" w:sz="0" w:space="0" w:color="auto"/>
        <w:left w:val="none" w:sz="0" w:space="0" w:color="auto"/>
        <w:bottom w:val="none" w:sz="0" w:space="0" w:color="auto"/>
        <w:right w:val="none" w:sz="0" w:space="0" w:color="auto"/>
      </w:divBdr>
    </w:div>
    <w:div w:id="1477186905">
      <w:bodyDiv w:val="1"/>
      <w:marLeft w:val="0"/>
      <w:marRight w:val="0"/>
      <w:marTop w:val="0"/>
      <w:marBottom w:val="0"/>
      <w:divBdr>
        <w:top w:val="none" w:sz="0" w:space="0" w:color="auto"/>
        <w:left w:val="none" w:sz="0" w:space="0" w:color="auto"/>
        <w:bottom w:val="none" w:sz="0" w:space="0" w:color="auto"/>
        <w:right w:val="none" w:sz="0" w:space="0" w:color="auto"/>
      </w:divBdr>
    </w:div>
    <w:div w:id="1508400751">
      <w:bodyDiv w:val="1"/>
      <w:marLeft w:val="0"/>
      <w:marRight w:val="0"/>
      <w:marTop w:val="0"/>
      <w:marBottom w:val="0"/>
      <w:divBdr>
        <w:top w:val="none" w:sz="0" w:space="0" w:color="auto"/>
        <w:left w:val="none" w:sz="0" w:space="0" w:color="auto"/>
        <w:bottom w:val="none" w:sz="0" w:space="0" w:color="auto"/>
        <w:right w:val="none" w:sz="0" w:space="0" w:color="auto"/>
      </w:divBdr>
    </w:div>
    <w:div w:id="1579751508">
      <w:bodyDiv w:val="1"/>
      <w:marLeft w:val="0"/>
      <w:marRight w:val="0"/>
      <w:marTop w:val="0"/>
      <w:marBottom w:val="0"/>
      <w:divBdr>
        <w:top w:val="none" w:sz="0" w:space="0" w:color="auto"/>
        <w:left w:val="none" w:sz="0" w:space="0" w:color="auto"/>
        <w:bottom w:val="none" w:sz="0" w:space="0" w:color="auto"/>
        <w:right w:val="none" w:sz="0" w:space="0" w:color="auto"/>
      </w:divBdr>
    </w:div>
    <w:div w:id="1582175460">
      <w:bodyDiv w:val="1"/>
      <w:marLeft w:val="0"/>
      <w:marRight w:val="0"/>
      <w:marTop w:val="0"/>
      <w:marBottom w:val="0"/>
      <w:divBdr>
        <w:top w:val="none" w:sz="0" w:space="0" w:color="auto"/>
        <w:left w:val="none" w:sz="0" w:space="0" w:color="auto"/>
        <w:bottom w:val="none" w:sz="0" w:space="0" w:color="auto"/>
        <w:right w:val="none" w:sz="0" w:space="0" w:color="auto"/>
      </w:divBdr>
    </w:div>
    <w:div w:id="1604530015">
      <w:bodyDiv w:val="1"/>
      <w:marLeft w:val="0"/>
      <w:marRight w:val="0"/>
      <w:marTop w:val="0"/>
      <w:marBottom w:val="0"/>
      <w:divBdr>
        <w:top w:val="none" w:sz="0" w:space="0" w:color="auto"/>
        <w:left w:val="none" w:sz="0" w:space="0" w:color="auto"/>
        <w:bottom w:val="none" w:sz="0" w:space="0" w:color="auto"/>
        <w:right w:val="none" w:sz="0" w:space="0" w:color="auto"/>
      </w:divBdr>
    </w:div>
    <w:div w:id="1631128821">
      <w:bodyDiv w:val="1"/>
      <w:marLeft w:val="0"/>
      <w:marRight w:val="0"/>
      <w:marTop w:val="0"/>
      <w:marBottom w:val="0"/>
      <w:divBdr>
        <w:top w:val="none" w:sz="0" w:space="0" w:color="auto"/>
        <w:left w:val="none" w:sz="0" w:space="0" w:color="auto"/>
        <w:bottom w:val="none" w:sz="0" w:space="0" w:color="auto"/>
        <w:right w:val="none" w:sz="0" w:space="0" w:color="auto"/>
      </w:divBdr>
    </w:div>
    <w:div w:id="1653948896">
      <w:bodyDiv w:val="1"/>
      <w:marLeft w:val="0"/>
      <w:marRight w:val="0"/>
      <w:marTop w:val="0"/>
      <w:marBottom w:val="0"/>
      <w:divBdr>
        <w:top w:val="none" w:sz="0" w:space="0" w:color="auto"/>
        <w:left w:val="none" w:sz="0" w:space="0" w:color="auto"/>
        <w:bottom w:val="none" w:sz="0" w:space="0" w:color="auto"/>
        <w:right w:val="none" w:sz="0" w:space="0" w:color="auto"/>
      </w:divBdr>
    </w:div>
    <w:div w:id="1673413275">
      <w:bodyDiv w:val="1"/>
      <w:marLeft w:val="0"/>
      <w:marRight w:val="0"/>
      <w:marTop w:val="0"/>
      <w:marBottom w:val="0"/>
      <w:divBdr>
        <w:top w:val="none" w:sz="0" w:space="0" w:color="auto"/>
        <w:left w:val="none" w:sz="0" w:space="0" w:color="auto"/>
        <w:bottom w:val="none" w:sz="0" w:space="0" w:color="auto"/>
        <w:right w:val="none" w:sz="0" w:space="0" w:color="auto"/>
      </w:divBdr>
    </w:div>
    <w:div w:id="1697390897">
      <w:bodyDiv w:val="1"/>
      <w:marLeft w:val="0"/>
      <w:marRight w:val="0"/>
      <w:marTop w:val="0"/>
      <w:marBottom w:val="0"/>
      <w:divBdr>
        <w:top w:val="none" w:sz="0" w:space="0" w:color="auto"/>
        <w:left w:val="none" w:sz="0" w:space="0" w:color="auto"/>
        <w:bottom w:val="none" w:sz="0" w:space="0" w:color="auto"/>
        <w:right w:val="none" w:sz="0" w:space="0" w:color="auto"/>
      </w:divBdr>
    </w:div>
    <w:div w:id="1712994386">
      <w:bodyDiv w:val="1"/>
      <w:marLeft w:val="0"/>
      <w:marRight w:val="0"/>
      <w:marTop w:val="0"/>
      <w:marBottom w:val="0"/>
      <w:divBdr>
        <w:top w:val="none" w:sz="0" w:space="0" w:color="auto"/>
        <w:left w:val="none" w:sz="0" w:space="0" w:color="auto"/>
        <w:bottom w:val="none" w:sz="0" w:space="0" w:color="auto"/>
        <w:right w:val="none" w:sz="0" w:space="0" w:color="auto"/>
      </w:divBdr>
    </w:div>
    <w:div w:id="1717194204">
      <w:bodyDiv w:val="1"/>
      <w:marLeft w:val="0"/>
      <w:marRight w:val="0"/>
      <w:marTop w:val="0"/>
      <w:marBottom w:val="0"/>
      <w:divBdr>
        <w:top w:val="none" w:sz="0" w:space="0" w:color="auto"/>
        <w:left w:val="none" w:sz="0" w:space="0" w:color="auto"/>
        <w:bottom w:val="none" w:sz="0" w:space="0" w:color="auto"/>
        <w:right w:val="none" w:sz="0" w:space="0" w:color="auto"/>
      </w:divBdr>
    </w:div>
    <w:div w:id="1751270661">
      <w:bodyDiv w:val="1"/>
      <w:marLeft w:val="0"/>
      <w:marRight w:val="0"/>
      <w:marTop w:val="0"/>
      <w:marBottom w:val="0"/>
      <w:divBdr>
        <w:top w:val="none" w:sz="0" w:space="0" w:color="auto"/>
        <w:left w:val="none" w:sz="0" w:space="0" w:color="auto"/>
        <w:bottom w:val="none" w:sz="0" w:space="0" w:color="auto"/>
        <w:right w:val="none" w:sz="0" w:space="0" w:color="auto"/>
      </w:divBdr>
    </w:div>
    <w:div w:id="1789278215">
      <w:bodyDiv w:val="1"/>
      <w:marLeft w:val="0"/>
      <w:marRight w:val="0"/>
      <w:marTop w:val="0"/>
      <w:marBottom w:val="0"/>
      <w:divBdr>
        <w:top w:val="none" w:sz="0" w:space="0" w:color="auto"/>
        <w:left w:val="none" w:sz="0" w:space="0" w:color="auto"/>
        <w:bottom w:val="none" w:sz="0" w:space="0" w:color="auto"/>
        <w:right w:val="none" w:sz="0" w:space="0" w:color="auto"/>
      </w:divBdr>
    </w:div>
    <w:div w:id="1791432560">
      <w:bodyDiv w:val="1"/>
      <w:marLeft w:val="0"/>
      <w:marRight w:val="0"/>
      <w:marTop w:val="0"/>
      <w:marBottom w:val="0"/>
      <w:divBdr>
        <w:top w:val="none" w:sz="0" w:space="0" w:color="auto"/>
        <w:left w:val="none" w:sz="0" w:space="0" w:color="auto"/>
        <w:bottom w:val="none" w:sz="0" w:space="0" w:color="auto"/>
        <w:right w:val="none" w:sz="0" w:space="0" w:color="auto"/>
      </w:divBdr>
    </w:div>
    <w:div w:id="1835803235">
      <w:bodyDiv w:val="1"/>
      <w:marLeft w:val="0"/>
      <w:marRight w:val="0"/>
      <w:marTop w:val="0"/>
      <w:marBottom w:val="0"/>
      <w:divBdr>
        <w:top w:val="none" w:sz="0" w:space="0" w:color="auto"/>
        <w:left w:val="none" w:sz="0" w:space="0" w:color="auto"/>
        <w:bottom w:val="none" w:sz="0" w:space="0" w:color="auto"/>
        <w:right w:val="none" w:sz="0" w:space="0" w:color="auto"/>
      </w:divBdr>
    </w:div>
    <w:div w:id="1878618063">
      <w:bodyDiv w:val="1"/>
      <w:marLeft w:val="0"/>
      <w:marRight w:val="0"/>
      <w:marTop w:val="0"/>
      <w:marBottom w:val="0"/>
      <w:divBdr>
        <w:top w:val="none" w:sz="0" w:space="0" w:color="auto"/>
        <w:left w:val="none" w:sz="0" w:space="0" w:color="auto"/>
        <w:bottom w:val="none" w:sz="0" w:space="0" w:color="auto"/>
        <w:right w:val="none" w:sz="0" w:space="0" w:color="auto"/>
      </w:divBdr>
    </w:div>
    <w:div w:id="1892645640">
      <w:bodyDiv w:val="1"/>
      <w:marLeft w:val="0"/>
      <w:marRight w:val="0"/>
      <w:marTop w:val="0"/>
      <w:marBottom w:val="0"/>
      <w:divBdr>
        <w:top w:val="none" w:sz="0" w:space="0" w:color="auto"/>
        <w:left w:val="none" w:sz="0" w:space="0" w:color="auto"/>
        <w:bottom w:val="none" w:sz="0" w:space="0" w:color="auto"/>
        <w:right w:val="none" w:sz="0" w:space="0" w:color="auto"/>
      </w:divBdr>
      <w:divsChild>
        <w:div w:id="489753401">
          <w:marLeft w:val="0"/>
          <w:marRight w:val="0"/>
          <w:marTop w:val="0"/>
          <w:marBottom w:val="0"/>
          <w:divBdr>
            <w:top w:val="none" w:sz="0" w:space="0" w:color="auto"/>
            <w:left w:val="none" w:sz="0" w:space="0" w:color="auto"/>
            <w:bottom w:val="none" w:sz="0" w:space="0" w:color="auto"/>
            <w:right w:val="none" w:sz="0" w:space="0" w:color="auto"/>
          </w:divBdr>
        </w:div>
        <w:div w:id="491651830">
          <w:marLeft w:val="0"/>
          <w:marRight w:val="0"/>
          <w:marTop w:val="0"/>
          <w:marBottom w:val="0"/>
          <w:divBdr>
            <w:top w:val="none" w:sz="0" w:space="0" w:color="auto"/>
            <w:left w:val="none" w:sz="0" w:space="0" w:color="auto"/>
            <w:bottom w:val="none" w:sz="0" w:space="0" w:color="auto"/>
            <w:right w:val="none" w:sz="0" w:space="0" w:color="auto"/>
          </w:divBdr>
        </w:div>
        <w:div w:id="603728768">
          <w:marLeft w:val="0"/>
          <w:marRight w:val="0"/>
          <w:marTop w:val="0"/>
          <w:marBottom w:val="0"/>
          <w:divBdr>
            <w:top w:val="none" w:sz="0" w:space="0" w:color="auto"/>
            <w:left w:val="none" w:sz="0" w:space="0" w:color="auto"/>
            <w:bottom w:val="none" w:sz="0" w:space="0" w:color="auto"/>
            <w:right w:val="none" w:sz="0" w:space="0" w:color="auto"/>
          </w:divBdr>
        </w:div>
        <w:div w:id="867373614">
          <w:marLeft w:val="0"/>
          <w:marRight w:val="0"/>
          <w:marTop w:val="0"/>
          <w:marBottom w:val="0"/>
          <w:divBdr>
            <w:top w:val="none" w:sz="0" w:space="0" w:color="auto"/>
            <w:left w:val="none" w:sz="0" w:space="0" w:color="auto"/>
            <w:bottom w:val="none" w:sz="0" w:space="0" w:color="auto"/>
            <w:right w:val="none" w:sz="0" w:space="0" w:color="auto"/>
          </w:divBdr>
        </w:div>
        <w:div w:id="1592852665">
          <w:marLeft w:val="0"/>
          <w:marRight w:val="0"/>
          <w:marTop w:val="0"/>
          <w:marBottom w:val="0"/>
          <w:divBdr>
            <w:top w:val="none" w:sz="0" w:space="0" w:color="auto"/>
            <w:left w:val="none" w:sz="0" w:space="0" w:color="auto"/>
            <w:bottom w:val="none" w:sz="0" w:space="0" w:color="auto"/>
            <w:right w:val="none" w:sz="0" w:space="0" w:color="auto"/>
          </w:divBdr>
        </w:div>
      </w:divsChild>
    </w:div>
    <w:div w:id="1918325348">
      <w:bodyDiv w:val="1"/>
      <w:marLeft w:val="0"/>
      <w:marRight w:val="0"/>
      <w:marTop w:val="0"/>
      <w:marBottom w:val="0"/>
      <w:divBdr>
        <w:top w:val="none" w:sz="0" w:space="0" w:color="auto"/>
        <w:left w:val="none" w:sz="0" w:space="0" w:color="auto"/>
        <w:bottom w:val="none" w:sz="0" w:space="0" w:color="auto"/>
        <w:right w:val="none" w:sz="0" w:space="0" w:color="auto"/>
      </w:divBdr>
    </w:div>
    <w:div w:id="1939874459">
      <w:bodyDiv w:val="1"/>
      <w:marLeft w:val="0"/>
      <w:marRight w:val="0"/>
      <w:marTop w:val="0"/>
      <w:marBottom w:val="0"/>
      <w:divBdr>
        <w:top w:val="none" w:sz="0" w:space="0" w:color="auto"/>
        <w:left w:val="none" w:sz="0" w:space="0" w:color="auto"/>
        <w:bottom w:val="none" w:sz="0" w:space="0" w:color="auto"/>
        <w:right w:val="none" w:sz="0" w:space="0" w:color="auto"/>
      </w:divBdr>
    </w:div>
    <w:div w:id="2004702457">
      <w:bodyDiv w:val="1"/>
      <w:marLeft w:val="0"/>
      <w:marRight w:val="0"/>
      <w:marTop w:val="0"/>
      <w:marBottom w:val="0"/>
      <w:divBdr>
        <w:top w:val="none" w:sz="0" w:space="0" w:color="auto"/>
        <w:left w:val="none" w:sz="0" w:space="0" w:color="auto"/>
        <w:bottom w:val="none" w:sz="0" w:space="0" w:color="auto"/>
        <w:right w:val="none" w:sz="0" w:space="0" w:color="auto"/>
      </w:divBdr>
    </w:div>
    <w:div w:id="2008052751">
      <w:bodyDiv w:val="1"/>
      <w:marLeft w:val="0"/>
      <w:marRight w:val="0"/>
      <w:marTop w:val="0"/>
      <w:marBottom w:val="0"/>
      <w:divBdr>
        <w:top w:val="none" w:sz="0" w:space="0" w:color="auto"/>
        <w:left w:val="none" w:sz="0" w:space="0" w:color="auto"/>
        <w:bottom w:val="none" w:sz="0" w:space="0" w:color="auto"/>
        <w:right w:val="none" w:sz="0" w:space="0" w:color="auto"/>
      </w:divBdr>
    </w:div>
    <w:div w:id="2015381005">
      <w:bodyDiv w:val="1"/>
      <w:marLeft w:val="0"/>
      <w:marRight w:val="0"/>
      <w:marTop w:val="0"/>
      <w:marBottom w:val="0"/>
      <w:divBdr>
        <w:top w:val="none" w:sz="0" w:space="0" w:color="auto"/>
        <w:left w:val="none" w:sz="0" w:space="0" w:color="auto"/>
        <w:bottom w:val="none" w:sz="0" w:space="0" w:color="auto"/>
        <w:right w:val="none" w:sz="0" w:space="0" w:color="auto"/>
      </w:divBdr>
    </w:div>
    <w:div w:id="2023779213">
      <w:bodyDiv w:val="1"/>
      <w:marLeft w:val="0"/>
      <w:marRight w:val="0"/>
      <w:marTop w:val="0"/>
      <w:marBottom w:val="0"/>
      <w:divBdr>
        <w:top w:val="none" w:sz="0" w:space="0" w:color="auto"/>
        <w:left w:val="none" w:sz="0" w:space="0" w:color="auto"/>
        <w:bottom w:val="none" w:sz="0" w:space="0" w:color="auto"/>
        <w:right w:val="none" w:sz="0" w:space="0" w:color="auto"/>
      </w:divBdr>
      <w:divsChild>
        <w:div w:id="65763902">
          <w:marLeft w:val="0"/>
          <w:marRight w:val="0"/>
          <w:marTop w:val="0"/>
          <w:marBottom w:val="0"/>
          <w:divBdr>
            <w:top w:val="none" w:sz="0" w:space="0" w:color="auto"/>
            <w:left w:val="none" w:sz="0" w:space="0" w:color="auto"/>
            <w:bottom w:val="none" w:sz="0" w:space="0" w:color="auto"/>
            <w:right w:val="none" w:sz="0" w:space="0" w:color="auto"/>
          </w:divBdr>
        </w:div>
        <w:div w:id="196898327">
          <w:marLeft w:val="0"/>
          <w:marRight w:val="0"/>
          <w:marTop w:val="0"/>
          <w:marBottom w:val="0"/>
          <w:divBdr>
            <w:top w:val="none" w:sz="0" w:space="0" w:color="auto"/>
            <w:left w:val="none" w:sz="0" w:space="0" w:color="auto"/>
            <w:bottom w:val="none" w:sz="0" w:space="0" w:color="auto"/>
            <w:right w:val="none" w:sz="0" w:space="0" w:color="auto"/>
          </w:divBdr>
        </w:div>
        <w:div w:id="932980155">
          <w:marLeft w:val="0"/>
          <w:marRight w:val="0"/>
          <w:marTop w:val="0"/>
          <w:marBottom w:val="0"/>
          <w:divBdr>
            <w:top w:val="none" w:sz="0" w:space="0" w:color="auto"/>
            <w:left w:val="none" w:sz="0" w:space="0" w:color="auto"/>
            <w:bottom w:val="none" w:sz="0" w:space="0" w:color="auto"/>
            <w:right w:val="none" w:sz="0" w:space="0" w:color="auto"/>
          </w:divBdr>
        </w:div>
      </w:divsChild>
    </w:div>
    <w:div w:id="2068414025">
      <w:bodyDiv w:val="1"/>
      <w:marLeft w:val="0"/>
      <w:marRight w:val="0"/>
      <w:marTop w:val="0"/>
      <w:marBottom w:val="0"/>
      <w:divBdr>
        <w:top w:val="none" w:sz="0" w:space="0" w:color="auto"/>
        <w:left w:val="none" w:sz="0" w:space="0" w:color="auto"/>
        <w:bottom w:val="none" w:sz="0" w:space="0" w:color="auto"/>
        <w:right w:val="none" w:sz="0" w:space="0" w:color="auto"/>
      </w:divBdr>
    </w:div>
    <w:div w:id="2076049574">
      <w:bodyDiv w:val="1"/>
      <w:marLeft w:val="0"/>
      <w:marRight w:val="0"/>
      <w:marTop w:val="0"/>
      <w:marBottom w:val="0"/>
      <w:divBdr>
        <w:top w:val="none" w:sz="0" w:space="0" w:color="auto"/>
        <w:left w:val="none" w:sz="0" w:space="0" w:color="auto"/>
        <w:bottom w:val="none" w:sz="0" w:space="0" w:color="auto"/>
        <w:right w:val="none" w:sz="0" w:space="0" w:color="auto"/>
      </w:divBdr>
    </w:div>
    <w:div w:id="2089036871">
      <w:bodyDiv w:val="1"/>
      <w:marLeft w:val="0"/>
      <w:marRight w:val="0"/>
      <w:marTop w:val="0"/>
      <w:marBottom w:val="0"/>
      <w:divBdr>
        <w:top w:val="none" w:sz="0" w:space="0" w:color="auto"/>
        <w:left w:val="none" w:sz="0" w:space="0" w:color="auto"/>
        <w:bottom w:val="none" w:sz="0" w:space="0" w:color="auto"/>
        <w:right w:val="none" w:sz="0" w:space="0" w:color="auto"/>
      </w:divBdr>
    </w:div>
    <w:div w:id="2127920713">
      <w:bodyDiv w:val="1"/>
      <w:marLeft w:val="0"/>
      <w:marRight w:val="0"/>
      <w:marTop w:val="0"/>
      <w:marBottom w:val="0"/>
      <w:divBdr>
        <w:top w:val="none" w:sz="0" w:space="0" w:color="auto"/>
        <w:left w:val="none" w:sz="0" w:space="0" w:color="auto"/>
        <w:bottom w:val="none" w:sz="0" w:space="0" w:color="auto"/>
        <w:right w:val="none" w:sz="0" w:space="0" w:color="auto"/>
      </w:divBdr>
    </w:div>
    <w:div w:id="2128817188">
      <w:bodyDiv w:val="1"/>
      <w:marLeft w:val="0"/>
      <w:marRight w:val="0"/>
      <w:marTop w:val="0"/>
      <w:marBottom w:val="0"/>
      <w:divBdr>
        <w:top w:val="none" w:sz="0" w:space="0" w:color="auto"/>
        <w:left w:val="none" w:sz="0" w:space="0" w:color="auto"/>
        <w:bottom w:val="none" w:sz="0" w:space="0" w:color="auto"/>
        <w:right w:val="none" w:sz="0" w:space="0" w:color="auto"/>
      </w:divBdr>
    </w:div>
    <w:div w:id="2130663691">
      <w:bodyDiv w:val="1"/>
      <w:marLeft w:val="0"/>
      <w:marRight w:val="0"/>
      <w:marTop w:val="0"/>
      <w:marBottom w:val="0"/>
      <w:divBdr>
        <w:top w:val="none" w:sz="0" w:space="0" w:color="auto"/>
        <w:left w:val="none" w:sz="0" w:space="0" w:color="auto"/>
        <w:bottom w:val="none" w:sz="0" w:space="0" w:color="auto"/>
        <w:right w:val="none" w:sz="0" w:space="0" w:color="auto"/>
      </w:divBdr>
    </w:div>
    <w:div w:id="21435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encorridors.cefta.int/greencorridorsanon/dashboar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international-partnerships.ec.europa.eu/knowledge-hub/communicating-and-raising-eu-visibility-guidance-external-actions_en" TargetMode="External"/><Relationship Id="rId7" Type="http://schemas.openxmlformats.org/officeDocument/2006/relationships/settings" Target="settings.xml"/><Relationship Id="rId12" Type="http://schemas.openxmlformats.org/officeDocument/2006/relationships/hyperlink" Target="https://cefta.int/about/cefta-structure-organigr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transparency.cefta.int/TradeStatist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eighbourhood-enlargement.ec.europa.eu/document/download/8f5dbe63-e951-4180-9c32-298cae022d03_en?filename=COM_2023_691_New%20Growth%20Plan%20Western%20Balkans.pdf" TargetMode="External"/><Relationship Id="rId2" Type="http://schemas.openxmlformats.org/officeDocument/2006/relationships/hyperlink" Target="https://www.oecd-ilibrary.org/development/competitiveness-in-south-east-europe-2021_dcbc2ea9-en?_ga=2.175878690.1875065696.1635319327-536767888.1554455919" TargetMode="External"/><Relationship Id="rId1" Type="http://schemas.openxmlformats.org/officeDocument/2006/relationships/hyperlink" Target="https://economy-finance.ec.europa.eu/system/files/2023-01/tp062_en.pdf" TargetMode="External"/><Relationship Id="rId4"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A4F677D22144BA93836EC243C46FF" ma:contentTypeVersion="4" ma:contentTypeDescription="Create a new document." ma:contentTypeScope="" ma:versionID="537464c5dafd4dcac85b16eee414aaa0">
  <xsd:schema xmlns:xsd="http://www.w3.org/2001/XMLSchema" xmlns:xs="http://www.w3.org/2001/XMLSchema" xmlns:p="http://schemas.microsoft.com/office/2006/metadata/properties" xmlns:ns2="17547e70-2358-4408-bab6-cece0639b5d2" targetNamespace="http://schemas.microsoft.com/office/2006/metadata/properties" ma:root="true" ma:fieldsID="9ecc5a2db388083d7430fb17aacc0acb" ns2:_="">
    <xsd:import namespace="17547e70-2358-4408-bab6-cece0639b5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47e70-2358-4408-bab6-cece0639b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FB71F-6975-4529-8B25-3D4A27E3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47e70-2358-4408-bab6-cece0639b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21257-3FE8-4DBB-9C8F-441D7E590849}">
  <ds:schemaRefs>
    <ds:schemaRef ds:uri="http://schemas.microsoft.com/office/2006/metadata/properties"/>
    <ds:schemaRef ds:uri="http://schemas.microsoft.com/office/2006/documentManagement/types"/>
    <ds:schemaRef ds:uri="http://purl.org/dc/terms/"/>
    <ds:schemaRef ds:uri="17547e70-2358-4408-bab6-cece0639b5d2"/>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783CC84-C207-4B83-9680-26B8451D57A0}">
  <ds:schemaRefs>
    <ds:schemaRef ds:uri="http://schemas.microsoft.com/sharepoint/v3/contenttype/forms"/>
  </ds:schemaRefs>
</ds:datastoreItem>
</file>

<file path=customXml/itemProps4.xml><?xml version="1.0" encoding="utf-8"?>
<ds:datastoreItem xmlns:ds="http://schemas.openxmlformats.org/officeDocument/2006/customXml" ds:itemID="{63D5B7EE-CD5C-46FE-9660-E810BDE5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10721</Words>
  <Characters>62722</Characters>
  <Application>Microsoft Office Word</Application>
  <DocSecurity>0</DocSecurity>
  <Lines>1695</Lines>
  <Paragraphs>825</Paragraphs>
  <ScaleCrop>false</ScaleCrop>
  <Company/>
  <LinksUpToDate>false</LinksUpToDate>
  <CharactersWithSpaces>72618</CharactersWithSpaces>
  <SharedDoc>false</SharedDoc>
  <HLinks>
    <vt:vector size="60" baseType="variant">
      <vt:variant>
        <vt:i4>4259903</vt:i4>
      </vt:variant>
      <vt:variant>
        <vt:i4>9</vt:i4>
      </vt:variant>
      <vt:variant>
        <vt:i4>0</vt:i4>
      </vt:variant>
      <vt:variant>
        <vt:i4>5</vt:i4>
      </vt:variant>
      <vt:variant>
        <vt:lpwstr>https://international-partnerships.ec.europa.eu/knowledge-hub/communicating-and-raising-eu-visibility-guidance-external-actions_en</vt:lpwstr>
      </vt:variant>
      <vt:variant>
        <vt:lpwstr/>
      </vt:variant>
      <vt:variant>
        <vt:i4>7864427</vt:i4>
      </vt:variant>
      <vt:variant>
        <vt:i4>6</vt:i4>
      </vt:variant>
      <vt:variant>
        <vt:i4>0</vt:i4>
      </vt:variant>
      <vt:variant>
        <vt:i4>5</vt:i4>
      </vt:variant>
      <vt:variant>
        <vt:lpwstr>https://transparency.cefta.int/TradeStatistics</vt:lpwstr>
      </vt:variant>
      <vt:variant>
        <vt:lpwstr/>
      </vt:variant>
      <vt:variant>
        <vt:i4>4784144</vt:i4>
      </vt:variant>
      <vt:variant>
        <vt:i4>3</vt:i4>
      </vt:variant>
      <vt:variant>
        <vt:i4>0</vt:i4>
      </vt:variant>
      <vt:variant>
        <vt:i4>5</vt:i4>
      </vt:variant>
      <vt:variant>
        <vt:lpwstr>https://greencorridors.cefta.int/greencorridorsanon/dashboard</vt:lpwstr>
      </vt:variant>
      <vt:variant>
        <vt:lpwstr/>
      </vt:variant>
      <vt:variant>
        <vt:i4>2359349</vt:i4>
      </vt:variant>
      <vt:variant>
        <vt:i4>0</vt:i4>
      </vt:variant>
      <vt:variant>
        <vt:i4>0</vt:i4>
      </vt:variant>
      <vt:variant>
        <vt:i4>5</vt:i4>
      </vt:variant>
      <vt:variant>
        <vt:lpwstr>https://cefta.int/about/cefta-structure-organigram/</vt:lpwstr>
      </vt:variant>
      <vt:variant>
        <vt:lpwstr/>
      </vt:variant>
      <vt:variant>
        <vt:i4>1966145</vt:i4>
      </vt:variant>
      <vt:variant>
        <vt:i4>9</vt:i4>
      </vt:variant>
      <vt:variant>
        <vt:i4>0</vt:i4>
      </vt:variant>
      <vt:variant>
        <vt:i4>5</vt:i4>
      </vt:variant>
      <vt:variant>
        <vt:lpwstr>https://www.sanctionsmap.eu/</vt:lpwstr>
      </vt:variant>
      <vt:variant>
        <vt:lpwstr>/main</vt:lpwstr>
      </vt:variant>
      <vt:variant>
        <vt:i4>3407925</vt:i4>
      </vt:variant>
      <vt:variant>
        <vt:i4>6</vt:i4>
      </vt:variant>
      <vt:variant>
        <vt:i4>0</vt:i4>
      </vt:variant>
      <vt:variant>
        <vt:i4>5</vt:i4>
      </vt:variant>
      <vt:variant>
        <vt:lpwstr>https://neighbourhood-enlargement.ec.europa.eu/document/download/8f5dbe63-e951-4180-9c32-298cae022d03_en?filename=COM_2023_691_New%20Growth%20Plan%20Western%20Balkans.pdf</vt:lpwstr>
      </vt:variant>
      <vt:variant>
        <vt:lpwstr/>
      </vt:variant>
      <vt:variant>
        <vt:i4>5505112</vt:i4>
      </vt:variant>
      <vt:variant>
        <vt:i4>3</vt:i4>
      </vt:variant>
      <vt:variant>
        <vt:i4>0</vt:i4>
      </vt:variant>
      <vt:variant>
        <vt:i4>5</vt:i4>
      </vt:variant>
      <vt:variant>
        <vt:lpwstr>https://www.oecd-ilibrary.org/development/competitiveness-in-south-east-europe-2021_dcbc2ea9-en?_ga=2.175878690.1875065696.1635319327-536767888.1554455919</vt:lpwstr>
      </vt:variant>
      <vt:variant>
        <vt:lpwstr/>
      </vt:variant>
      <vt:variant>
        <vt:i4>5374073</vt:i4>
      </vt:variant>
      <vt:variant>
        <vt:i4>0</vt:i4>
      </vt:variant>
      <vt:variant>
        <vt:i4>0</vt:i4>
      </vt:variant>
      <vt:variant>
        <vt:i4>5</vt:i4>
      </vt:variant>
      <vt:variant>
        <vt:lpwstr>https://economy-finance.ec.europa.eu/system/files/2023-01/tp062_en.pdf</vt:lpwstr>
      </vt:variant>
      <vt:variant>
        <vt:lpwstr/>
      </vt:variant>
      <vt:variant>
        <vt:i4>8257605</vt:i4>
      </vt:variant>
      <vt:variant>
        <vt:i4>3</vt:i4>
      </vt:variant>
      <vt:variant>
        <vt:i4>0</vt:i4>
      </vt:variant>
      <vt:variant>
        <vt:i4>5</vt:i4>
      </vt:variant>
      <vt:variant>
        <vt:lpwstr>mailto:Jerome.BENAUSSE@ec.europa.eu</vt:lpwstr>
      </vt:variant>
      <vt:variant>
        <vt:lpwstr/>
      </vt:variant>
      <vt:variant>
        <vt:i4>8257605</vt:i4>
      </vt:variant>
      <vt:variant>
        <vt:i4>0</vt:i4>
      </vt:variant>
      <vt:variant>
        <vt:i4>0</vt:i4>
      </vt:variant>
      <vt:variant>
        <vt:i4>5</vt:i4>
      </vt:variant>
      <vt:variant>
        <vt:lpwstr>mailto:Jerome.BENAUSSE@ec.europa.eu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HEIKKINEN Ritva (NEAR)</dc:creator>
  <cp:keywords/>
  <dc:description/>
  <cp:lastModifiedBy>MARTIN BARRIGA Maria Teresa (NEAR)</cp:lastModifiedBy>
  <cp:revision>4</cp:revision>
  <dcterms:created xsi:type="dcterms:W3CDTF">2024-12-12T15:46:00Z</dcterms:created>
  <dcterms:modified xsi:type="dcterms:W3CDTF">2024-12-12T17:19:00Z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0x0101007CBA4F677D22144BA93836EC243C46FF</vt:lpwstr>
  </property>
  <property fmtid="{D5CDD505-2E9C-101B-9397-08002B2CF9AE}" pid="3" name="MSIP_Label_6bd9ddd1-4d20-43f6-abfa-fc3c07406f94_Enabled">
    <vt:lpwstr>true</vt:lpwstr>
  </property>
  <property fmtid="{D5CDD505-2E9C-101B-9397-08002B2CF9AE}" pid="4" name="MSIP_Label_6bd9ddd1-4d20-43f6-abfa-fc3c07406f94_SetDate">
    <vt:lpwstr>2024-06-26T09:34:51Z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c0f5392d-a578-4d91-93f2-c1fec484e640</vt:lpwstr>
  </property>
  <property fmtid="{D5CDD505-2E9C-101B-9397-08002B2CF9AE}" pid="9" name="MSIP_Label_6bd9ddd1-4d20-43f6-abfa-fc3c07406f94_ContentBits">
    <vt:lpwstr>0</vt:lpwstr>
  </property>
  <property fmtid="{D5CDD505-2E9C-101B-9397-08002B2CF9AE}" pid="10" name="MediaServiceImageTags">
    <vt:lpwstr/>
  </property>
</Properties>
</file>